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89" w:rsidRDefault="008B5CD6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8B5CD6">
        <w:rPr>
          <w:rFonts w:ascii="Arial" w:hAnsi="Arial"/>
          <w:b/>
          <w:color w:val="365F91" w:themeColor="accent1" w:themeShade="BF"/>
          <w:szCs w:val="24"/>
        </w:rPr>
        <w:t>ОБРАЗАЦ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311289" w:rsidTr="00311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311289" w:rsidRDefault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8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Cs w:val="24"/>
              </w:rPr>
              <w:t>ИЗВЈЕШТАЈ О АНАЛИЗИ УТИЦАЈА ПРОПИСА ЗА ЛОКАЛНЕ САМОУПРАВЕ</w:t>
            </w:r>
          </w:p>
        </w:tc>
      </w:tr>
      <w:tr w:rsidR="008B5CD6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9F61A0" w:rsidRDefault="008B5CD6" w:rsidP="00DE4650">
            <w:r w:rsidRPr="009F61A0">
              <w:t>ПРЕДЛАГАЧ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Cs w:val="0"/>
                <w:szCs w:val="24"/>
              </w:rPr>
            </w:pP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Предсједник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Општине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Никшић</w:t>
            </w:r>
            <w:proofErr w:type="spellEnd"/>
          </w:p>
          <w:p w:rsidR="008B5CD6" w:rsidRDefault="008B5CD6" w:rsidP="008B5CD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Дирекција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за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имовину</w:t>
            </w:r>
            <w:proofErr w:type="spellEnd"/>
          </w:p>
        </w:tc>
      </w:tr>
      <w:tr w:rsidR="008B5CD6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Default="008B5CD6" w:rsidP="00DE4650">
            <w:r w:rsidRPr="009F61A0">
              <w:t>НАЗИВ ПРОПИСА</w:t>
            </w:r>
          </w:p>
        </w:tc>
        <w:tc>
          <w:tcPr>
            <w:tcW w:w="5598" w:type="dxa"/>
            <w:tcBorders>
              <w:top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Default="008B5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Одлука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расписивању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огласа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јавном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надметању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за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пренос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права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својине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на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грађевинско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земљиште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обухвату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Измјена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допуна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Просторно-урбанистичког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плана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општине</w:t>
            </w:r>
            <w:proofErr w:type="spellEnd"/>
            <w:r w:rsidRPr="008B5CD6">
              <w:rPr>
                <w:rFonts w:ascii="Arial" w:hAnsi="Arial"/>
                <w:bCs w:val="0"/>
                <w:szCs w:val="24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bCs w:val="0"/>
                <w:szCs w:val="24"/>
              </w:rPr>
              <w:t>Никшић</w:t>
            </w:r>
            <w:proofErr w:type="spellEnd"/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  <w:lang w:val="sr-Cyrl-ME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34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и 3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40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ЦГ“, </w:t>
            </w:r>
            <w:proofErr w:type="spellStart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FF7013" w:rsidRPr="00FF7013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 21/09, 40/11, 23/25 и 160/25)</w:t>
            </w: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9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2/18, 34/19, 38/20, 50/22 и 84/22),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ЦГ 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 31/18, 21/23, 62/25 и 42/25);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поступак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провођења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пренос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својине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–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Генералног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измјена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допуна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Просторно-урбанистичког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поменути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донешен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средином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2024.године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реализован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дијелу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парцеле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предмет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8B5CD6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провести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привести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подручје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;</w:t>
            </w:r>
          </w:p>
          <w:p w:rsid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  <w:lang w:val="sr-Cyrl-ME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сви</w:t>
            </w:r>
            <w:proofErr w:type="spellEnd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</w:t>
            </w:r>
            <w:proofErr w:type="spellEnd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њене</w:t>
            </w:r>
            <w:proofErr w:type="spellEnd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територије</w:t>
            </w:r>
            <w:proofErr w:type="spellEnd"/>
            <w:r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311289" w:rsidRPr="008B5CD6" w:rsidRDefault="008B5CD6" w:rsidP="008B5CD6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27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/>
                <w:color w:val="365F91" w:themeColor="accent1" w:themeShade="BF"/>
                <w:sz w:val="20"/>
                <w:szCs w:val="20"/>
                <w:lang w:val="sr-Cyrl-ME"/>
              </w:rPr>
              <w:t>-</w:t>
            </w: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“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привести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услова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привођење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намјени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планским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документом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подручје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0C5AE2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).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расписивање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огласа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надметању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пренос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својине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Генералним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урбанистичким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измјена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допуна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Просторно-урбанистичког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; </w:t>
            </w:r>
          </w:p>
          <w:p w:rsidR="00311289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rPr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);</w:t>
            </w:r>
          </w:p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311289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?</w:t>
            </w:r>
            <w:proofErr w:type="gramEnd"/>
          </w:p>
          <w:p w:rsidR="00311289" w:rsidRDefault="008B5CD6" w:rsidP="008B5CD6">
            <w:pP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?)</w:t>
            </w:r>
            <w:r w:rsidR="0080172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311289" w:rsidRPr="008B5CD6" w:rsidRDefault="0031128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/>
                <w:b w:val="0"/>
                <w:bCs/>
                <w:color w:val="365F91" w:themeColor="accent1" w:themeShade="BF"/>
                <w:sz w:val="20"/>
                <w:szCs w:val="20"/>
                <w:lang w:val="sr-Cyrl-ME"/>
              </w:rPr>
            </w:pPr>
          </w:p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952193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приходовати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продатог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будуће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накнаде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комунално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опремање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Почетна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цијена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грађевинског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члана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мања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32</w:t>
            </w:r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,00</w:t>
            </w:r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€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м2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земљишта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утврђена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складу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>Извјештајем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о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тржишне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вриједности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непокретности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27.02.2025.године,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урађеним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Комисије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непокретних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ствари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формиране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Рјешењем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предсједника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број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02-031-2538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16.06.2024. </w:t>
            </w:r>
            <w:proofErr w:type="spellStart"/>
            <w:proofErr w:type="gram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године</w:t>
            </w:r>
            <w:proofErr w:type="spellEnd"/>
            <w:proofErr w:type="gram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lastRenderedPageBreak/>
              <w:t xml:space="preserve">6.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).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8B5CD6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вршене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;</w:t>
            </w:r>
          </w:p>
          <w:p w:rsidR="00311289" w:rsidRPr="008B5CD6" w:rsidRDefault="008B5CD6" w:rsidP="008B5CD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  <w:shd w:val="clear" w:color="auto" w:fill="D2EAF1" w:themeFill="accent5" w:themeFillTint="3F"/>
          </w:tcPr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     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311289" w:rsidTr="003112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8" w:space="0" w:color="4BACC6" w:themeColor="accent5"/>
              <w:left w:val="single" w:sz="8" w:space="0" w:color="4BACC6" w:themeColor="accent5"/>
              <w:bottom w:val="single" w:sz="8" w:space="0" w:color="4BACC6" w:themeColor="accent5"/>
              <w:right w:val="single" w:sz="8" w:space="0" w:color="4BACC6" w:themeColor="accent5"/>
            </w:tcBorders>
          </w:tcPr>
          <w:p w:rsidR="00311289" w:rsidRDefault="0031128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8B5CD6" w:rsidRPr="008B5CD6" w:rsidRDefault="008B5CD6" w:rsidP="008B5CD6">
            <w:pPr>
              <w:autoSpaceDE w:val="0"/>
              <w:autoSpaceDN w:val="0"/>
              <w:adjustRightInd w:val="0"/>
              <w:rPr>
                <w:rFonts w:ascii="Arial" w:hAnsi="Arial"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  <w:p w:rsidR="00311289" w:rsidRDefault="008B5CD6" w:rsidP="008B5C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8B5CD6">
              <w:rPr>
                <w:rFonts w:ascii="Arial" w:hAnsi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:rsidR="00311289" w:rsidRDefault="00311289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D74BFB" w:rsidRDefault="00D74BFB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D74BFB" w:rsidRDefault="00D74BFB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BD420E" w:rsidRPr="00BD420E" w:rsidRDefault="00BD420E" w:rsidP="00BD420E">
      <w:pPr>
        <w:rPr>
          <w:rFonts w:ascii="Arial" w:hAnsi="Arial"/>
          <w:b/>
        </w:rPr>
      </w:pPr>
      <w:proofErr w:type="spellStart"/>
      <w:r w:rsidRPr="00BD420E">
        <w:rPr>
          <w:rFonts w:ascii="Arial" w:hAnsi="Arial"/>
          <w:b/>
        </w:rPr>
        <w:t>Датум</w:t>
      </w:r>
      <w:proofErr w:type="spellEnd"/>
      <w:r w:rsidRPr="00BD420E">
        <w:rPr>
          <w:rFonts w:ascii="Arial" w:hAnsi="Arial"/>
          <w:b/>
        </w:rPr>
        <w:t xml:space="preserve"> и </w:t>
      </w:r>
      <w:proofErr w:type="spellStart"/>
      <w:r w:rsidRPr="00BD420E">
        <w:rPr>
          <w:rFonts w:ascii="Arial" w:hAnsi="Arial"/>
          <w:b/>
        </w:rPr>
        <w:t>мјесто</w:t>
      </w:r>
      <w:proofErr w:type="spellEnd"/>
      <w:r w:rsidRPr="00BD420E">
        <w:rPr>
          <w:rFonts w:ascii="Arial" w:hAnsi="Arial"/>
          <w:b/>
        </w:rPr>
        <w:t xml:space="preserve">                                                                                   ДИРЕКТОР</w:t>
      </w:r>
    </w:p>
    <w:p w:rsidR="00311289" w:rsidRDefault="00BD420E" w:rsidP="00BD420E">
      <w:pPr>
        <w:rPr>
          <w:rFonts w:ascii="Arial" w:hAnsi="Arial" w:cs="Arial"/>
          <w:b/>
          <w:color w:val="365F91" w:themeColor="accent1" w:themeShade="BF"/>
        </w:rPr>
      </w:pPr>
      <w:proofErr w:type="spellStart"/>
      <w:proofErr w:type="gramStart"/>
      <w:r w:rsidRPr="00BD420E">
        <w:rPr>
          <w:rFonts w:ascii="Arial" w:hAnsi="Arial"/>
          <w:b/>
        </w:rPr>
        <w:t>Никшић</w:t>
      </w:r>
      <w:proofErr w:type="spellEnd"/>
      <w:r w:rsidRPr="00BD420E">
        <w:rPr>
          <w:rFonts w:ascii="Arial" w:hAnsi="Arial"/>
          <w:b/>
        </w:rPr>
        <w:t>, 2</w:t>
      </w:r>
      <w:r w:rsidR="00A37866">
        <w:rPr>
          <w:rFonts w:ascii="Arial" w:hAnsi="Arial"/>
          <w:b/>
          <w:lang w:val="sr-Cyrl-ME"/>
        </w:rPr>
        <w:t>5</w:t>
      </w:r>
      <w:bookmarkStart w:id="0" w:name="_GoBack"/>
      <w:bookmarkEnd w:id="0"/>
      <w:r w:rsidRPr="00BD420E">
        <w:rPr>
          <w:rFonts w:ascii="Arial" w:hAnsi="Arial"/>
          <w:b/>
        </w:rPr>
        <w:t>.</w:t>
      </w:r>
      <w:proofErr w:type="spellStart"/>
      <w:r w:rsidRPr="00BD420E">
        <w:rPr>
          <w:rFonts w:ascii="Arial" w:hAnsi="Arial"/>
          <w:b/>
        </w:rPr>
        <w:t>март</w:t>
      </w:r>
      <w:proofErr w:type="spellEnd"/>
      <w:r w:rsidRPr="00BD420E">
        <w:rPr>
          <w:rFonts w:ascii="Arial" w:hAnsi="Arial"/>
          <w:b/>
        </w:rPr>
        <w:t xml:space="preserve"> 2026.</w:t>
      </w:r>
      <w:proofErr w:type="gramEnd"/>
      <w:r w:rsidRPr="00BD420E">
        <w:rPr>
          <w:rFonts w:ascii="Arial" w:hAnsi="Arial"/>
          <w:b/>
        </w:rPr>
        <w:t xml:space="preserve"> </w:t>
      </w:r>
      <w:proofErr w:type="spellStart"/>
      <w:proofErr w:type="gramStart"/>
      <w:r w:rsidRPr="00BD420E">
        <w:rPr>
          <w:rFonts w:ascii="Arial" w:hAnsi="Arial"/>
          <w:b/>
        </w:rPr>
        <w:t>године</w:t>
      </w:r>
      <w:proofErr w:type="spellEnd"/>
      <w:proofErr w:type="gramEnd"/>
      <w:r w:rsidRPr="00BD420E">
        <w:rPr>
          <w:rFonts w:ascii="Arial" w:hAnsi="Arial"/>
          <w:b/>
        </w:rPr>
        <w:t xml:space="preserve">                     </w:t>
      </w:r>
      <w:r>
        <w:rPr>
          <w:rFonts w:ascii="Arial" w:hAnsi="Arial"/>
          <w:b/>
        </w:rPr>
        <w:t xml:space="preserve">                               </w:t>
      </w:r>
      <w:proofErr w:type="spellStart"/>
      <w:r w:rsidRPr="00BD420E">
        <w:rPr>
          <w:rFonts w:ascii="Arial" w:hAnsi="Arial"/>
          <w:b/>
        </w:rPr>
        <w:t>Радосав</w:t>
      </w:r>
      <w:proofErr w:type="spellEnd"/>
      <w:r w:rsidRPr="00BD420E">
        <w:rPr>
          <w:rFonts w:ascii="Arial" w:hAnsi="Arial"/>
          <w:b/>
        </w:rPr>
        <w:t xml:space="preserve"> </w:t>
      </w:r>
      <w:proofErr w:type="spellStart"/>
      <w:r w:rsidRPr="00BD420E">
        <w:rPr>
          <w:rFonts w:ascii="Arial" w:hAnsi="Arial"/>
          <w:b/>
        </w:rPr>
        <w:t>Урошевић</w:t>
      </w:r>
      <w:proofErr w:type="spellEnd"/>
    </w:p>
    <w:sectPr w:rsidR="00311289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15" w:rsidRDefault="007A0115">
      <w:r>
        <w:separator/>
      </w:r>
    </w:p>
  </w:endnote>
  <w:endnote w:type="continuationSeparator" w:id="0">
    <w:p w:rsidR="007A0115" w:rsidRDefault="007A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15" w:rsidRDefault="007A0115">
      <w:r>
        <w:separator/>
      </w:r>
    </w:p>
  </w:footnote>
  <w:footnote w:type="continuationSeparator" w:id="0">
    <w:p w:rsidR="007A0115" w:rsidRDefault="007A0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25B"/>
    <w:multiLevelType w:val="multilevel"/>
    <w:tmpl w:val="1A5C725B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91EE8"/>
    <w:multiLevelType w:val="multilevel"/>
    <w:tmpl w:val="46991EE8"/>
    <w:lvl w:ilvl="0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12989"/>
    <w:rsid w:val="00036EFA"/>
    <w:rsid w:val="000511F0"/>
    <w:rsid w:val="00057E6C"/>
    <w:rsid w:val="000629D8"/>
    <w:rsid w:val="00067FCF"/>
    <w:rsid w:val="000716AC"/>
    <w:rsid w:val="00075306"/>
    <w:rsid w:val="00090EE2"/>
    <w:rsid w:val="000C5AE2"/>
    <w:rsid w:val="000C5F59"/>
    <w:rsid w:val="000E5392"/>
    <w:rsid w:val="000E7E95"/>
    <w:rsid w:val="00136E1D"/>
    <w:rsid w:val="00154647"/>
    <w:rsid w:val="00162BB1"/>
    <w:rsid w:val="00165A77"/>
    <w:rsid w:val="00183269"/>
    <w:rsid w:val="001A77E0"/>
    <w:rsid w:val="001B6959"/>
    <w:rsid w:val="001C7348"/>
    <w:rsid w:val="001D0BF0"/>
    <w:rsid w:val="001D40E5"/>
    <w:rsid w:val="001E1794"/>
    <w:rsid w:val="001E404C"/>
    <w:rsid w:val="002072BA"/>
    <w:rsid w:val="00235BF5"/>
    <w:rsid w:val="00267C7D"/>
    <w:rsid w:val="00282840"/>
    <w:rsid w:val="00284A91"/>
    <w:rsid w:val="00294662"/>
    <w:rsid w:val="00295023"/>
    <w:rsid w:val="002A6869"/>
    <w:rsid w:val="002E7569"/>
    <w:rsid w:val="002F0506"/>
    <w:rsid w:val="00310915"/>
    <w:rsid w:val="00311289"/>
    <w:rsid w:val="00322389"/>
    <w:rsid w:val="00357476"/>
    <w:rsid w:val="00392F99"/>
    <w:rsid w:val="00395587"/>
    <w:rsid w:val="003D3FB6"/>
    <w:rsid w:val="003F334E"/>
    <w:rsid w:val="00410DF3"/>
    <w:rsid w:val="00421C05"/>
    <w:rsid w:val="00424B67"/>
    <w:rsid w:val="00425794"/>
    <w:rsid w:val="0047459A"/>
    <w:rsid w:val="0049164B"/>
    <w:rsid w:val="004A4396"/>
    <w:rsid w:val="004B549B"/>
    <w:rsid w:val="004C7A22"/>
    <w:rsid w:val="004E1351"/>
    <w:rsid w:val="004F4F9C"/>
    <w:rsid w:val="00504237"/>
    <w:rsid w:val="0054756C"/>
    <w:rsid w:val="005602EB"/>
    <w:rsid w:val="005805F3"/>
    <w:rsid w:val="00581D35"/>
    <w:rsid w:val="005A3E04"/>
    <w:rsid w:val="005C4266"/>
    <w:rsid w:val="005F00B7"/>
    <w:rsid w:val="005F03ED"/>
    <w:rsid w:val="005F6D49"/>
    <w:rsid w:val="005F7F76"/>
    <w:rsid w:val="00601210"/>
    <w:rsid w:val="006129CD"/>
    <w:rsid w:val="00670445"/>
    <w:rsid w:val="006710AA"/>
    <w:rsid w:val="00673F68"/>
    <w:rsid w:val="00676EAD"/>
    <w:rsid w:val="00681033"/>
    <w:rsid w:val="00681DE1"/>
    <w:rsid w:val="006A1B2C"/>
    <w:rsid w:val="006A3B25"/>
    <w:rsid w:val="006A3B76"/>
    <w:rsid w:val="006B4020"/>
    <w:rsid w:val="006C4F93"/>
    <w:rsid w:val="006D0461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41A35"/>
    <w:rsid w:val="007A0115"/>
    <w:rsid w:val="007A1C7D"/>
    <w:rsid w:val="007C12EB"/>
    <w:rsid w:val="007C2657"/>
    <w:rsid w:val="007D05DC"/>
    <w:rsid w:val="007E7A1D"/>
    <w:rsid w:val="0080172C"/>
    <w:rsid w:val="008039CA"/>
    <w:rsid w:val="008047E8"/>
    <w:rsid w:val="008102B2"/>
    <w:rsid w:val="008169A7"/>
    <w:rsid w:val="008301C9"/>
    <w:rsid w:val="008322D4"/>
    <w:rsid w:val="00833765"/>
    <w:rsid w:val="0085327D"/>
    <w:rsid w:val="008653C8"/>
    <w:rsid w:val="00871235"/>
    <w:rsid w:val="008748BB"/>
    <w:rsid w:val="008A2781"/>
    <w:rsid w:val="008B09E9"/>
    <w:rsid w:val="008B5CD6"/>
    <w:rsid w:val="008C0535"/>
    <w:rsid w:val="008C5160"/>
    <w:rsid w:val="008D0619"/>
    <w:rsid w:val="008E4862"/>
    <w:rsid w:val="008E6C79"/>
    <w:rsid w:val="008E7881"/>
    <w:rsid w:val="00952193"/>
    <w:rsid w:val="009535C3"/>
    <w:rsid w:val="00960A46"/>
    <w:rsid w:val="0097182D"/>
    <w:rsid w:val="00972845"/>
    <w:rsid w:val="00981466"/>
    <w:rsid w:val="009874EB"/>
    <w:rsid w:val="009E32C4"/>
    <w:rsid w:val="009E489E"/>
    <w:rsid w:val="009F37BA"/>
    <w:rsid w:val="00A04FAF"/>
    <w:rsid w:val="00A07773"/>
    <w:rsid w:val="00A265F9"/>
    <w:rsid w:val="00A37866"/>
    <w:rsid w:val="00A71595"/>
    <w:rsid w:val="00A726F0"/>
    <w:rsid w:val="00A76230"/>
    <w:rsid w:val="00AA117E"/>
    <w:rsid w:val="00AC6578"/>
    <w:rsid w:val="00AD100C"/>
    <w:rsid w:val="00AD48A3"/>
    <w:rsid w:val="00B2646E"/>
    <w:rsid w:val="00B40AA1"/>
    <w:rsid w:val="00B535B4"/>
    <w:rsid w:val="00B620F8"/>
    <w:rsid w:val="00B7089B"/>
    <w:rsid w:val="00BA7396"/>
    <w:rsid w:val="00BA7877"/>
    <w:rsid w:val="00BD420E"/>
    <w:rsid w:val="00BD4282"/>
    <w:rsid w:val="00BE11B9"/>
    <w:rsid w:val="00BE1A68"/>
    <w:rsid w:val="00BF3A3D"/>
    <w:rsid w:val="00C111D8"/>
    <w:rsid w:val="00C179F9"/>
    <w:rsid w:val="00C3159A"/>
    <w:rsid w:val="00C450DD"/>
    <w:rsid w:val="00C5148C"/>
    <w:rsid w:val="00C52D5B"/>
    <w:rsid w:val="00C549B4"/>
    <w:rsid w:val="00C72668"/>
    <w:rsid w:val="00C75DF0"/>
    <w:rsid w:val="00C773E3"/>
    <w:rsid w:val="00C87DA2"/>
    <w:rsid w:val="00C96017"/>
    <w:rsid w:val="00CC63BD"/>
    <w:rsid w:val="00D06D2A"/>
    <w:rsid w:val="00D10AC3"/>
    <w:rsid w:val="00D25692"/>
    <w:rsid w:val="00D27C82"/>
    <w:rsid w:val="00D4308A"/>
    <w:rsid w:val="00D74BFB"/>
    <w:rsid w:val="00D87CB1"/>
    <w:rsid w:val="00DB629C"/>
    <w:rsid w:val="00DD04AC"/>
    <w:rsid w:val="00DD1187"/>
    <w:rsid w:val="00DE7F9C"/>
    <w:rsid w:val="00DF5EA1"/>
    <w:rsid w:val="00DF6762"/>
    <w:rsid w:val="00E01F55"/>
    <w:rsid w:val="00E27102"/>
    <w:rsid w:val="00E3478E"/>
    <w:rsid w:val="00E45613"/>
    <w:rsid w:val="00E61671"/>
    <w:rsid w:val="00E721E9"/>
    <w:rsid w:val="00ED0AF4"/>
    <w:rsid w:val="00ED0F74"/>
    <w:rsid w:val="00ED4766"/>
    <w:rsid w:val="00EE7102"/>
    <w:rsid w:val="00F20105"/>
    <w:rsid w:val="00F227D1"/>
    <w:rsid w:val="00F724F6"/>
    <w:rsid w:val="00F72683"/>
    <w:rsid w:val="00F7433F"/>
    <w:rsid w:val="00F827EF"/>
    <w:rsid w:val="00F829CD"/>
    <w:rsid w:val="00FB6BD5"/>
    <w:rsid w:val="00FB7CBA"/>
    <w:rsid w:val="00FF1494"/>
    <w:rsid w:val="00FF7013"/>
    <w:rsid w:val="033C2311"/>
    <w:rsid w:val="13316ABC"/>
    <w:rsid w:val="3A4B0BD2"/>
    <w:rsid w:val="41A56B5B"/>
    <w:rsid w:val="673132B0"/>
    <w:rsid w:val="79E9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caption" w:uiPriority="35" w:qFormat="1"/>
    <w:lsdException w:name="footnote reference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qFormat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qFormat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ME" w:eastAsia="sr-Latn-M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annotation text" w:qFormat="1"/>
    <w:lsdException w:name="caption" w:uiPriority="35" w:qFormat="1"/>
    <w:lsdException w:name="footnote reference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 w:qFormat="1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/>
    <w:lsdException w:name="Medium Grid 2 Accent 2" w:semiHidden="0" w:uiPriority="68" w:unhideWhenUsed="0" w:qFormat="1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eastAsia="Times New Roman" w:hAnsi="Garamond" w:cs="Times New Roman"/>
      <w:bCs/>
      <w:sz w:val="24"/>
      <w:szCs w:val="22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numId w:val="1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</w:rPr>
  </w:style>
  <w:style w:type="character" w:styleId="FootnoteReference">
    <w:name w:val="footnote reference"/>
    <w:basedOn w:val="DefaultParagraphFont"/>
    <w:uiPriority w:val="99"/>
    <w:semiHidden/>
    <w:qFormat/>
    <w:rPr>
      <w:rFonts w:ascii="Garamond" w:hAnsi="Garamond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pPr>
      <w:spacing w:before="40" w:after="40"/>
      <w:jc w:val="left"/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b/>
      <w:bCs/>
      <w:iCs/>
      <w:szCs w:val="28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Arial" w:eastAsia="Times New Roman" w:hAnsi="Arial" w:cs="Arial"/>
      <w:bCs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expand1">
    <w:name w:val="expand1"/>
    <w:basedOn w:val="DefaultParagraphFont"/>
    <w:qFormat/>
    <w:rPr>
      <w:rFonts w:ascii="Arial" w:hAnsi="Arial" w:cs="Arial" w:hint="default"/>
      <w:vanish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Direkcija 1</cp:lastModifiedBy>
  <cp:revision>6</cp:revision>
  <cp:lastPrinted>2026-03-25T06:17:00Z</cp:lastPrinted>
  <dcterms:created xsi:type="dcterms:W3CDTF">2026-02-09T09:38:00Z</dcterms:created>
  <dcterms:modified xsi:type="dcterms:W3CDTF">2026-03-25T06:19:00Z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DDADA4720814485CB5938C407E41E22E_13</vt:lpwstr>
  </property>
</Properties>
</file>