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E2379" w14:textId="77777777" w:rsidR="001D70C6" w:rsidRDefault="001D70C6" w:rsidP="005C30A9">
      <w:pPr>
        <w:jc w:val="center"/>
        <w:rPr>
          <w:b/>
          <w:bCs/>
          <w:sz w:val="28"/>
          <w:szCs w:val="28"/>
          <w:lang w:val="bs-Latn-BA"/>
        </w:rPr>
      </w:pPr>
    </w:p>
    <w:p w14:paraId="5815544E" w14:textId="32991CAC" w:rsidR="001D70C6" w:rsidRDefault="001D70C6" w:rsidP="005C30A9">
      <w:pPr>
        <w:jc w:val="center"/>
        <w:rPr>
          <w:b/>
          <w:bCs/>
          <w:sz w:val="28"/>
          <w:szCs w:val="28"/>
          <w:lang w:val="bs-Latn-BA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bs-Latn-BA"/>
        </w:rPr>
        <w:drawing>
          <wp:inline distT="0" distB="0" distL="0" distR="0" wp14:anchorId="36EDBDDD" wp14:editId="599996C8">
            <wp:extent cx="781050" cy="1081906"/>
            <wp:effectExtent l="0" t="0" r="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211" cy="108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3CD188" w14:textId="77777777" w:rsidR="001D70C6" w:rsidRDefault="001D70C6" w:rsidP="005C30A9">
      <w:pPr>
        <w:jc w:val="center"/>
        <w:rPr>
          <w:b/>
          <w:bCs/>
          <w:sz w:val="28"/>
          <w:szCs w:val="28"/>
          <w:lang w:val="bs-Latn-BA"/>
        </w:rPr>
      </w:pPr>
    </w:p>
    <w:p w14:paraId="59C8F990" w14:textId="224B2552" w:rsidR="00332C64" w:rsidRPr="001D70C6" w:rsidRDefault="00332C64" w:rsidP="005C30A9">
      <w:pPr>
        <w:jc w:val="center"/>
        <w:rPr>
          <w:rFonts w:ascii="Times New Roman" w:hAnsi="Times New Roman"/>
          <w:b/>
          <w:bCs/>
          <w:sz w:val="28"/>
          <w:szCs w:val="28"/>
          <w:lang w:val="bs-Latn-BA"/>
        </w:rPr>
      </w:pPr>
      <w:r w:rsidRPr="001D70C6">
        <w:rPr>
          <w:rFonts w:ascii="Times New Roman" w:hAnsi="Times New Roman"/>
          <w:b/>
          <w:bCs/>
          <w:sz w:val="28"/>
          <w:szCs w:val="28"/>
          <w:lang w:val="bs-Latn-BA"/>
        </w:rPr>
        <w:t>IZVJEŠTAJ O RE</w:t>
      </w:r>
      <w:r w:rsidR="001D70C6" w:rsidRPr="001D70C6">
        <w:rPr>
          <w:rFonts w:ascii="Times New Roman" w:hAnsi="Times New Roman"/>
          <w:b/>
          <w:bCs/>
          <w:sz w:val="28"/>
          <w:szCs w:val="28"/>
          <w:lang w:val="bs-Latn-BA"/>
        </w:rPr>
        <w:t>A</w:t>
      </w:r>
      <w:r w:rsidRPr="001D70C6">
        <w:rPr>
          <w:rFonts w:ascii="Times New Roman" w:hAnsi="Times New Roman"/>
          <w:b/>
          <w:bCs/>
          <w:sz w:val="28"/>
          <w:szCs w:val="28"/>
          <w:lang w:val="bs-Latn-BA"/>
        </w:rPr>
        <w:t>LIZACIJI</w:t>
      </w:r>
    </w:p>
    <w:p w14:paraId="37E380C6" w14:textId="77777777" w:rsidR="001D70C6" w:rsidRPr="001D70C6" w:rsidRDefault="001D70C6" w:rsidP="005C30A9">
      <w:pPr>
        <w:jc w:val="center"/>
        <w:rPr>
          <w:rFonts w:ascii="Times New Roman" w:hAnsi="Times New Roman"/>
          <w:b/>
          <w:bCs/>
          <w:sz w:val="28"/>
          <w:szCs w:val="28"/>
          <w:lang w:val="bs-Latn-BA"/>
        </w:rPr>
      </w:pPr>
    </w:p>
    <w:p w14:paraId="595E376C" w14:textId="00BB3CFA" w:rsidR="005C30A9" w:rsidRPr="001D70C6" w:rsidRDefault="00332C64" w:rsidP="005C30A9">
      <w:pPr>
        <w:jc w:val="center"/>
        <w:rPr>
          <w:rFonts w:ascii="Times New Roman" w:hAnsi="Times New Roman"/>
          <w:b/>
          <w:bCs/>
          <w:sz w:val="28"/>
          <w:szCs w:val="28"/>
          <w:lang w:val="bs-Latn-BA"/>
        </w:rPr>
      </w:pPr>
      <w:r w:rsidRPr="001D70C6">
        <w:rPr>
          <w:rFonts w:ascii="Times New Roman" w:hAnsi="Times New Roman"/>
          <w:b/>
          <w:bCs/>
          <w:sz w:val="28"/>
          <w:szCs w:val="28"/>
          <w:lang w:val="bs-Latn-BA"/>
        </w:rPr>
        <w:t xml:space="preserve"> AKCIONOG</w:t>
      </w:r>
      <w:r w:rsidR="005C30A9" w:rsidRPr="001D70C6">
        <w:rPr>
          <w:rFonts w:ascii="Times New Roman" w:hAnsi="Times New Roman"/>
          <w:b/>
          <w:bCs/>
          <w:sz w:val="28"/>
          <w:szCs w:val="28"/>
          <w:lang w:val="bs-Latn-BA"/>
        </w:rPr>
        <w:t xml:space="preserve"> PLAN</w:t>
      </w:r>
      <w:r w:rsidRPr="001D70C6">
        <w:rPr>
          <w:rFonts w:ascii="Times New Roman" w:hAnsi="Times New Roman"/>
          <w:b/>
          <w:bCs/>
          <w:sz w:val="28"/>
          <w:szCs w:val="28"/>
          <w:lang w:val="bs-Latn-BA"/>
        </w:rPr>
        <w:t>A</w:t>
      </w:r>
      <w:r w:rsidR="005C30A9" w:rsidRPr="001D70C6">
        <w:rPr>
          <w:rFonts w:ascii="Times New Roman" w:hAnsi="Times New Roman"/>
          <w:b/>
          <w:bCs/>
          <w:sz w:val="28"/>
          <w:szCs w:val="28"/>
          <w:lang w:val="bs-Latn-BA"/>
        </w:rPr>
        <w:t xml:space="preserve"> ZAPOŠLJAVANJA </w:t>
      </w:r>
      <w:r w:rsidR="00AF5602" w:rsidRPr="001D70C6">
        <w:rPr>
          <w:rFonts w:ascii="Times New Roman" w:hAnsi="Times New Roman"/>
          <w:b/>
          <w:bCs/>
          <w:sz w:val="28"/>
          <w:szCs w:val="28"/>
          <w:lang w:val="bs-Latn-BA"/>
        </w:rPr>
        <w:t>OPŠTINE NIKŠIĆ</w:t>
      </w:r>
      <w:r w:rsidR="00FC2275" w:rsidRPr="001D70C6">
        <w:rPr>
          <w:rFonts w:ascii="Times New Roman" w:hAnsi="Times New Roman"/>
          <w:b/>
          <w:bCs/>
          <w:sz w:val="28"/>
          <w:szCs w:val="28"/>
          <w:lang w:val="bs-Latn-BA"/>
        </w:rPr>
        <w:t xml:space="preserve"> </w:t>
      </w:r>
      <w:r w:rsidR="005C30A9" w:rsidRPr="001D70C6">
        <w:rPr>
          <w:rFonts w:ascii="Times New Roman" w:hAnsi="Times New Roman"/>
          <w:b/>
          <w:bCs/>
          <w:sz w:val="28"/>
          <w:szCs w:val="28"/>
          <w:lang w:val="bs-Latn-BA"/>
        </w:rPr>
        <w:t>ZA 202</w:t>
      </w:r>
      <w:r w:rsidR="00AF5602" w:rsidRPr="001D70C6">
        <w:rPr>
          <w:rFonts w:ascii="Times New Roman" w:hAnsi="Times New Roman"/>
          <w:b/>
          <w:bCs/>
          <w:sz w:val="28"/>
          <w:szCs w:val="28"/>
          <w:lang w:val="bs-Latn-BA"/>
        </w:rPr>
        <w:t>4</w:t>
      </w:r>
      <w:r w:rsidR="005C30A9" w:rsidRPr="001D70C6">
        <w:rPr>
          <w:rFonts w:ascii="Times New Roman" w:hAnsi="Times New Roman"/>
          <w:b/>
          <w:bCs/>
          <w:sz w:val="28"/>
          <w:szCs w:val="28"/>
          <w:lang w:val="bs-Latn-BA"/>
        </w:rPr>
        <w:t>. GODINU</w:t>
      </w:r>
    </w:p>
    <w:p w14:paraId="20A2666E" w14:textId="11405006" w:rsidR="001D70C6" w:rsidRDefault="001D70C6" w:rsidP="005C30A9">
      <w:pPr>
        <w:jc w:val="center"/>
        <w:rPr>
          <w:b/>
          <w:bCs/>
          <w:sz w:val="28"/>
          <w:szCs w:val="28"/>
          <w:lang w:val="bs-Latn-BA"/>
        </w:rPr>
      </w:pPr>
    </w:p>
    <w:p w14:paraId="6B4AA349" w14:textId="29670EB3" w:rsidR="001D70C6" w:rsidRDefault="001D70C6" w:rsidP="005C30A9">
      <w:pPr>
        <w:jc w:val="center"/>
        <w:rPr>
          <w:b/>
          <w:bCs/>
          <w:sz w:val="28"/>
          <w:szCs w:val="28"/>
          <w:lang w:val="bs-Latn-BA"/>
        </w:rPr>
      </w:pPr>
    </w:p>
    <w:p w14:paraId="71ABA125" w14:textId="60520A84" w:rsidR="001D70C6" w:rsidRDefault="001D70C6" w:rsidP="005C30A9">
      <w:pPr>
        <w:jc w:val="center"/>
        <w:rPr>
          <w:b/>
          <w:bCs/>
          <w:sz w:val="28"/>
          <w:szCs w:val="28"/>
          <w:lang w:val="bs-Latn-BA"/>
        </w:rPr>
      </w:pPr>
    </w:p>
    <w:p w14:paraId="466A5061" w14:textId="779A7EB0" w:rsidR="001D70C6" w:rsidRDefault="001D70C6" w:rsidP="005C30A9">
      <w:pPr>
        <w:jc w:val="center"/>
        <w:rPr>
          <w:b/>
          <w:bCs/>
          <w:sz w:val="28"/>
          <w:szCs w:val="28"/>
          <w:lang w:val="bs-Latn-BA"/>
        </w:rPr>
      </w:pPr>
    </w:p>
    <w:p w14:paraId="7CFB23E3" w14:textId="499CC8B4" w:rsidR="001D70C6" w:rsidRDefault="001D70C6" w:rsidP="005C30A9">
      <w:pPr>
        <w:jc w:val="center"/>
        <w:rPr>
          <w:b/>
          <w:bCs/>
          <w:sz w:val="28"/>
          <w:szCs w:val="28"/>
          <w:lang w:val="bs-Latn-BA"/>
        </w:rPr>
      </w:pPr>
    </w:p>
    <w:p w14:paraId="1ECC8A5E" w14:textId="27E4FDFC" w:rsidR="001D70C6" w:rsidRDefault="001D70C6" w:rsidP="005C30A9">
      <w:pPr>
        <w:jc w:val="center"/>
        <w:rPr>
          <w:b/>
          <w:bCs/>
          <w:sz w:val="28"/>
          <w:szCs w:val="28"/>
          <w:lang w:val="bs-Latn-BA"/>
        </w:rPr>
      </w:pPr>
    </w:p>
    <w:p w14:paraId="16F06B1D" w14:textId="204A04B7" w:rsidR="001D70C6" w:rsidRDefault="001D70C6" w:rsidP="005C30A9">
      <w:pPr>
        <w:jc w:val="center"/>
        <w:rPr>
          <w:b/>
          <w:bCs/>
          <w:sz w:val="28"/>
          <w:szCs w:val="28"/>
          <w:lang w:val="bs-Latn-BA"/>
        </w:rPr>
      </w:pPr>
    </w:p>
    <w:p w14:paraId="52A39767" w14:textId="68F429B9" w:rsidR="001D70C6" w:rsidRDefault="001D70C6" w:rsidP="005C30A9">
      <w:pPr>
        <w:jc w:val="center"/>
        <w:rPr>
          <w:b/>
          <w:bCs/>
          <w:sz w:val="28"/>
          <w:szCs w:val="28"/>
          <w:lang w:val="bs-Latn-BA"/>
        </w:rPr>
      </w:pPr>
    </w:p>
    <w:p w14:paraId="1E081B9D" w14:textId="2BFD1691" w:rsidR="001D70C6" w:rsidRPr="00702A51" w:rsidRDefault="00702A51" w:rsidP="00702A51">
      <w:pPr>
        <w:jc w:val="center"/>
        <w:rPr>
          <w:rFonts w:ascii="Times New Roman" w:hAnsi="Times New Roman"/>
          <w:sz w:val="24"/>
          <w:szCs w:val="24"/>
          <w:lang w:val="sr-Latn-ME"/>
        </w:rPr>
      </w:pPr>
      <w:r w:rsidRPr="00702A51">
        <w:rPr>
          <w:rFonts w:ascii="Times New Roman" w:hAnsi="Times New Roman"/>
          <w:sz w:val="24"/>
          <w:szCs w:val="24"/>
          <w:lang w:val="sr-Latn-ME"/>
        </w:rPr>
        <w:t>Nikšić, mart 2025. godine</w:t>
      </w:r>
    </w:p>
    <w:p w14:paraId="1B272AFC" w14:textId="48A8CB9B" w:rsidR="006C64ED" w:rsidRDefault="006C64ED" w:rsidP="00745DDE">
      <w:pPr>
        <w:jc w:val="right"/>
        <w:rPr>
          <w:b/>
          <w:bCs/>
          <w:sz w:val="28"/>
          <w:szCs w:val="28"/>
          <w:lang w:val="sr-Cyrl-RS"/>
        </w:rPr>
      </w:pPr>
    </w:p>
    <w:p w14:paraId="3E9CE96D" w14:textId="65C55DC6" w:rsidR="006C64ED" w:rsidRPr="006C64ED" w:rsidRDefault="006C64ED" w:rsidP="006C64ED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6C64ED">
        <w:rPr>
          <w:rFonts w:ascii="Times New Roman" w:hAnsi="Times New Roman" w:cs="Times New Roman"/>
          <w:b/>
          <w:sz w:val="28"/>
          <w:szCs w:val="28"/>
        </w:rPr>
        <w:lastRenderedPageBreak/>
        <w:t>UVOD</w:t>
      </w:r>
    </w:p>
    <w:p w14:paraId="24B3D7F6" w14:textId="77777777" w:rsidR="006C64ED" w:rsidRPr="006C64ED" w:rsidRDefault="006C64ED" w:rsidP="006C64ED">
      <w:pPr>
        <w:pStyle w:val="Default"/>
        <w:rPr>
          <w:rFonts w:ascii="Times New Roman" w:hAnsi="Times New Roman" w:cs="Times New Roman"/>
          <w:b/>
        </w:rPr>
      </w:pPr>
    </w:p>
    <w:p w14:paraId="602DE8F2" w14:textId="5537BE7E" w:rsidR="006C64ED" w:rsidRPr="006C64ED" w:rsidRDefault="006C64ED" w:rsidP="006C64ED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6C64ED">
        <w:rPr>
          <w:rFonts w:ascii="Times New Roman" w:hAnsi="Times New Roman"/>
          <w:sz w:val="24"/>
          <w:szCs w:val="24"/>
          <w:lang w:val="bs-Latn-BA"/>
        </w:rPr>
        <w:t xml:space="preserve">Lokalna strategija zapošljavanja u opštini Nikšić </w:t>
      </w:r>
      <w:r w:rsidR="00756E9F">
        <w:rPr>
          <w:rFonts w:ascii="Times New Roman" w:hAnsi="Times New Roman"/>
          <w:sz w:val="24"/>
          <w:szCs w:val="24"/>
          <w:lang w:val="bs-Latn-BA"/>
        </w:rPr>
        <w:t>2024</w:t>
      </w:r>
      <w:r w:rsidR="00B115C1">
        <w:rPr>
          <w:rFonts w:ascii="Times New Roman" w:hAnsi="Times New Roman"/>
          <w:sz w:val="24"/>
          <w:szCs w:val="24"/>
          <w:lang w:val="bs-Latn-BA"/>
        </w:rPr>
        <w:t>–</w:t>
      </w:r>
      <w:r w:rsidR="00756E9F">
        <w:rPr>
          <w:rFonts w:ascii="Times New Roman" w:hAnsi="Times New Roman"/>
          <w:sz w:val="24"/>
          <w:szCs w:val="24"/>
          <w:lang w:val="bs-Latn-BA"/>
        </w:rPr>
        <w:t xml:space="preserve">2028. </w:t>
      </w:r>
      <w:r w:rsidRPr="006C64ED">
        <w:rPr>
          <w:rFonts w:ascii="Times New Roman" w:hAnsi="Times New Roman"/>
          <w:sz w:val="24"/>
          <w:szCs w:val="24"/>
          <w:lang w:val="bs-Latn-BA"/>
        </w:rPr>
        <w:t>don</w:t>
      </w:r>
      <w:r w:rsidR="00756E9F">
        <w:rPr>
          <w:rFonts w:ascii="Times New Roman" w:hAnsi="Times New Roman"/>
          <w:sz w:val="24"/>
          <w:szCs w:val="24"/>
          <w:lang w:val="bs-Latn-BA"/>
        </w:rPr>
        <w:t>e</w:t>
      </w:r>
      <w:r w:rsidR="00E10CA9">
        <w:rPr>
          <w:rFonts w:ascii="Times New Roman" w:hAnsi="Times New Roman"/>
          <w:sz w:val="24"/>
          <w:szCs w:val="24"/>
          <w:lang w:val="bs-Latn-BA"/>
        </w:rPr>
        <w:t>s</w:t>
      </w:r>
      <w:r w:rsidR="00756E9F">
        <w:rPr>
          <w:rFonts w:ascii="Times New Roman" w:hAnsi="Times New Roman"/>
          <w:sz w:val="24"/>
          <w:szCs w:val="24"/>
          <w:lang w:val="bs-Latn-BA"/>
        </w:rPr>
        <w:t>ena je</w:t>
      </w:r>
      <w:r w:rsidRPr="006C64ED">
        <w:rPr>
          <w:rFonts w:ascii="Times New Roman" w:hAnsi="Times New Roman"/>
          <w:sz w:val="24"/>
          <w:szCs w:val="24"/>
          <w:lang w:val="bs-Latn-BA"/>
        </w:rPr>
        <w:t xml:space="preserve"> u skladu sa strateškim opredjeljenjem Opštine ka ostvarenju održivog, inkluzivnog i stabilnog ekonomskog rasta, smanjenju nezaposlenosti i siromaštva, kao i unapređenju mjera aktivne politike zapošljavanja i stručnog osposobljavanja. Dokument je done</w:t>
      </w:r>
      <w:r w:rsidR="00E10CA9">
        <w:rPr>
          <w:rFonts w:ascii="Times New Roman" w:hAnsi="Times New Roman"/>
          <w:sz w:val="24"/>
          <w:szCs w:val="24"/>
          <w:lang w:val="bs-Latn-BA"/>
        </w:rPr>
        <w:t>s</w:t>
      </w:r>
      <w:r w:rsidRPr="006C64ED">
        <w:rPr>
          <w:rFonts w:ascii="Times New Roman" w:hAnsi="Times New Roman"/>
          <w:sz w:val="24"/>
          <w:szCs w:val="24"/>
          <w:lang w:val="bs-Latn-BA"/>
        </w:rPr>
        <w:t>en u skladu sa relevantnim propisima i preporukama na globalnom, evropskom, nacionalnom i lokalnom nivou.</w:t>
      </w:r>
    </w:p>
    <w:p w14:paraId="02597720" w14:textId="105E5AFD" w:rsidR="006C64ED" w:rsidRPr="006C64ED" w:rsidRDefault="006C64ED" w:rsidP="006C64ED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  <w:lang w:val="bs-Latn-BA"/>
        </w:rPr>
      </w:pPr>
      <w:r w:rsidRPr="006C64ED">
        <w:rPr>
          <w:rFonts w:ascii="Times New Roman" w:hAnsi="Times New Roman"/>
          <w:i/>
          <w:iCs/>
          <w:sz w:val="24"/>
          <w:szCs w:val="24"/>
          <w:lang w:val="bs-Latn-BA"/>
        </w:rPr>
        <w:t>Vizija Strategije zapošljavanja opštine Nikšić</w:t>
      </w:r>
    </w:p>
    <w:p w14:paraId="3D3BC5DD" w14:textId="77777777" w:rsidR="006C64ED" w:rsidRPr="006C64ED" w:rsidRDefault="006C64ED" w:rsidP="006C64ED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6C64ED">
        <w:rPr>
          <w:rFonts w:ascii="Times New Roman" w:hAnsi="Times New Roman"/>
          <w:sz w:val="24"/>
          <w:szCs w:val="24"/>
          <w:lang w:val="bs-Latn-BA"/>
        </w:rPr>
        <w:t>„Razvoj ljudskog kapitala u opštini Nikšić prilagođen potrebama građana, zasnovan na znanju, inovativnosti, digitalizaciji, zelenoj ekonomiji i jednakom pristupu dostojanstvenim poslovima.“</w:t>
      </w:r>
    </w:p>
    <w:p w14:paraId="6935BD0A" w14:textId="274DE1A7" w:rsidR="006C64ED" w:rsidRPr="006C64ED" w:rsidRDefault="006C64ED" w:rsidP="006C64ED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6C64ED">
        <w:rPr>
          <w:rFonts w:ascii="Times New Roman" w:hAnsi="Times New Roman"/>
          <w:sz w:val="24"/>
          <w:szCs w:val="24"/>
          <w:lang w:val="bs-Latn-BA"/>
        </w:rPr>
        <w:t xml:space="preserve">Strategijom je definisan </w:t>
      </w:r>
      <w:r w:rsidRPr="006C64ED">
        <w:rPr>
          <w:rFonts w:ascii="Times New Roman" w:hAnsi="Times New Roman"/>
          <w:i/>
          <w:iCs/>
          <w:sz w:val="24"/>
          <w:szCs w:val="24"/>
          <w:lang w:val="bs-Latn-BA"/>
        </w:rPr>
        <w:t>strateški cilj</w:t>
      </w:r>
      <w:r w:rsidRPr="006C64ED">
        <w:rPr>
          <w:rFonts w:ascii="Times New Roman" w:hAnsi="Times New Roman"/>
          <w:sz w:val="24"/>
          <w:szCs w:val="24"/>
          <w:lang w:val="bs-Latn-BA"/>
        </w:rPr>
        <w:t xml:space="preserve"> „Održivo i inkluzivno zapošljavanje i samozapošljavanje u opštini Nikšić</w:t>
      </w:r>
      <w:r w:rsidR="00B115C1">
        <w:rPr>
          <w:rFonts w:ascii="Times New Roman" w:hAnsi="Times New Roman"/>
          <w:sz w:val="24"/>
          <w:szCs w:val="24"/>
          <w:lang w:val="bs-Latn-BA"/>
        </w:rPr>
        <w:t>“</w:t>
      </w:r>
      <w:r w:rsidRPr="006C64ED">
        <w:rPr>
          <w:rFonts w:ascii="Times New Roman" w:hAnsi="Times New Roman"/>
          <w:sz w:val="24"/>
          <w:szCs w:val="24"/>
          <w:lang w:val="bs-Latn-BA"/>
        </w:rPr>
        <w:t>.</w:t>
      </w:r>
    </w:p>
    <w:p w14:paraId="6083C0BE" w14:textId="3B18CD0F" w:rsidR="006C64ED" w:rsidRPr="006C64ED" w:rsidRDefault="006C64ED" w:rsidP="006C64ED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6C64ED">
        <w:rPr>
          <w:rFonts w:ascii="Times New Roman" w:hAnsi="Times New Roman"/>
          <w:sz w:val="24"/>
          <w:szCs w:val="24"/>
          <w:lang w:val="bs-Latn-BA"/>
        </w:rPr>
        <w:t xml:space="preserve">Ovaj dokument definiše </w:t>
      </w:r>
      <w:r w:rsidR="0038797B">
        <w:rPr>
          <w:rFonts w:ascii="Times New Roman" w:hAnsi="Times New Roman"/>
          <w:sz w:val="24"/>
          <w:szCs w:val="24"/>
          <w:lang w:val="bs-Latn-BA"/>
        </w:rPr>
        <w:t xml:space="preserve">4 </w:t>
      </w:r>
      <w:r w:rsidRPr="006C64ED">
        <w:rPr>
          <w:rFonts w:ascii="Times New Roman" w:hAnsi="Times New Roman"/>
          <w:sz w:val="24"/>
          <w:szCs w:val="24"/>
          <w:lang w:val="bs-Latn-BA"/>
        </w:rPr>
        <w:t>operativna cilja</w:t>
      </w:r>
      <w:r>
        <w:rPr>
          <w:rFonts w:ascii="Times New Roman" w:hAnsi="Times New Roman"/>
          <w:sz w:val="24"/>
          <w:szCs w:val="24"/>
          <w:lang w:val="bs-Latn-BA"/>
        </w:rPr>
        <w:t xml:space="preserve"> i </w:t>
      </w:r>
      <w:r w:rsidR="0038797B">
        <w:rPr>
          <w:rFonts w:ascii="Times New Roman" w:hAnsi="Times New Roman"/>
          <w:sz w:val="24"/>
          <w:szCs w:val="24"/>
          <w:lang w:val="bs-Latn-BA"/>
        </w:rPr>
        <w:t>47 mjera</w:t>
      </w:r>
      <w:r w:rsidRPr="006C64ED">
        <w:rPr>
          <w:rFonts w:ascii="Times New Roman" w:hAnsi="Times New Roman"/>
          <w:sz w:val="24"/>
          <w:szCs w:val="24"/>
          <w:lang w:val="bs-Latn-BA"/>
        </w:rPr>
        <w:t>, koji su osnov za donošenje godišnjih a</w:t>
      </w:r>
      <w:r>
        <w:rPr>
          <w:rFonts w:ascii="Times New Roman" w:hAnsi="Times New Roman"/>
          <w:sz w:val="24"/>
          <w:szCs w:val="24"/>
          <w:lang w:val="bs-Latn-BA"/>
        </w:rPr>
        <w:t>k</w:t>
      </w:r>
      <w:r w:rsidRPr="006C64ED">
        <w:rPr>
          <w:rFonts w:ascii="Times New Roman" w:hAnsi="Times New Roman"/>
          <w:sz w:val="24"/>
          <w:szCs w:val="24"/>
          <w:lang w:val="bs-Latn-BA"/>
        </w:rPr>
        <w:t>cionih planova.</w:t>
      </w:r>
    </w:p>
    <w:p w14:paraId="74B4FFAF" w14:textId="77777777" w:rsidR="006C64ED" w:rsidRDefault="006C64ED" w:rsidP="00033C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6C64ED">
        <w:rPr>
          <w:rFonts w:ascii="Times New Roman" w:hAnsi="Times New Roman"/>
          <w:sz w:val="24"/>
          <w:szCs w:val="24"/>
          <w:lang w:val="bs-Latn-BA"/>
        </w:rPr>
        <w:t>Operativni cilj 1</w:t>
      </w:r>
      <w:r w:rsidRPr="006C64ED">
        <w:rPr>
          <w:rFonts w:ascii="Times New Roman" w:hAnsi="Times New Roman"/>
          <w:sz w:val="24"/>
          <w:szCs w:val="24"/>
          <w:lang w:val="bs-Latn-BA"/>
        </w:rPr>
        <w:tab/>
        <w:t xml:space="preserve">Unapređenje znanja, kompetencija i vještina radne snage u skladu sa potrebama tržišta i novih poslova u strateškim sektorima </w:t>
      </w:r>
      <w:r>
        <w:rPr>
          <w:rFonts w:ascii="Times New Roman" w:hAnsi="Times New Roman"/>
          <w:sz w:val="24"/>
          <w:szCs w:val="24"/>
          <w:lang w:val="bs-Latn-BA"/>
        </w:rPr>
        <w:t xml:space="preserve">  </w:t>
      </w:r>
    </w:p>
    <w:p w14:paraId="68FE6967" w14:textId="14AB2D91" w:rsidR="006C64ED" w:rsidRPr="006C64ED" w:rsidRDefault="006C64ED" w:rsidP="00033CC8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                                    </w:t>
      </w:r>
      <w:r w:rsidRPr="006C64ED">
        <w:rPr>
          <w:rFonts w:ascii="Times New Roman" w:hAnsi="Times New Roman"/>
          <w:sz w:val="24"/>
          <w:szCs w:val="24"/>
          <w:lang w:val="bs-Latn-BA"/>
        </w:rPr>
        <w:t>sa potencijalom rasta</w:t>
      </w:r>
    </w:p>
    <w:p w14:paraId="5AEC4F5B" w14:textId="5C5B29F9" w:rsidR="006C64ED" w:rsidRPr="006C64ED" w:rsidRDefault="006C64ED" w:rsidP="006C64ED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6C64ED">
        <w:rPr>
          <w:rFonts w:ascii="Times New Roman" w:hAnsi="Times New Roman"/>
          <w:sz w:val="24"/>
          <w:szCs w:val="24"/>
          <w:lang w:val="bs-Latn-BA"/>
        </w:rPr>
        <w:t>Operativni cilj 2</w:t>
      </w:r>
      <w:r w:rsidRPr="006C64ED">
        <w:rPr>
          <w:rFonts w:ascii="Times New Roman" w:hAnsi="Times New Roman"/>
          <w:sz w:val="24"/>
          <w:szCs w:val="24"/>
          <w:lang w:val="bs-Latn-BA"/>
        </w:rPr>
        <w:tab/>
        <w:t xml:space="preserve">Jačanje konkurentnosti opštine Nikšić kroz unapređenje poslovnog okruženja i poslovnog sektora </w:t>
      </w:r>
    </w:p>
    <w:p w14:paraId="0B895F21" w14:textId="3066130B" w:rsidR="006C64ED" w:rsidRPr="006C64ED" w:rsidRDefault="006C64ED" w:rsidP="006C64ED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6C64ED">
        <w:rPr>
          <w:rFonts w:ascii="Times New Roman" w:hAnsi="Times New Roman"/>
          <w:sz w:val="24"/>
          <w:szCs w:val="24"/>
          <w:lang w:val="bs-Latn-BA"/>
        </w:rPr>
        <w:t>Operativni cilj 3</w:t>
      </w:r>
      <w:r w:rsidRPr="006C64ED">
        <w:rPr>
          <w:rFonts w:ascii="Times New Roman" w:hAnsi="Times New Roman"/>
          <w:sz w:val="24"/>
          <w:szCs w:val="24"/>
          <w:lang w:val="bs-Latn-BA"/>
        </w:rPr>
        <w:tab/>
        <w:t>Jačanje preduzetništva i kreiranje novih radnih mjesta</w:t>
      </w:r>
    </w:p>
    <w:p w14:paraId="30132DC9" w14:textId="56F561D0" w:rsidR="006C64ED" w:rsidRPr="006C64ED" w:rsidRDefault="006C64ED" w:rsidP="006C64ED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6C64ED">
        <w:rPr>
          <w:rFonts w:ascii="Times New Roman" w:hAnsi="Times New Roman"/>
          <w:sz w:val="24"/>
          <w:szCs w:val="24"/>
          <w:lang w:val="bs-Latn-BA"/>
        </w:rPr>
        <w:t>Operativni cilj 4</w:t>
      </w:r>
      <w:r w:rsidRPr="006C64ED">
        <w:rPr>
          <w:rFonts w:ascii="Times New Roman" w:hAnsi="Times New Roman"/>
          <w:sz w:val="24"/>
          <w:szCs w:val="24"/>
          <w:lang w:val="bs-Latn-BA"/>
        </w:rPr>
        <w:tab/>
        <w:t>Povećanje zaposlenosti i socijalne uključenosti lica u nepovoljnom položaju na tržištu rada</w:t>
      </w:r>
    </w:p>
    <w:p w14:paraId="6BBBB4F5" w14:textId="165A7A74" w:rsidR="00BC4D9E" w:rsidRDefault="00BC4D9E" w:rsidP="00BC4D9E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BC4D9E">
        <w:rPr>
          <w:rFonts w:ascii="Times New Roman" w:hAnsi="Times New Roman"/>
          <w:sz w:val="24"/>
          <w:szCs w:val="24"/>
          <w:lang w:val="bs-Latn-BA"/>
        </w:rPr>
        <w:t xml:space="preserve">Za koordinaciju sprovođenja Strategije zadužena </w:t>
      </w:r>
      <w:r>
        <w:rPr>
          <w:rFonts w:ascii="Times New Roman" w:hAnsi="Times New Roman"/>
          <w:sz w:val="24"/>
          <w:szCs w:val="24"/>
          <w:lang w:val="bs-Latn-BA"/>
        </w:rPr>
        <w:t xml:space="preserve">je </w:t>
      </w:r>
      <w:r w:rsidRPr="00BC4D9E">
        <w:rPr>
          <w:rFonts w:ascii="Times New Roman" w:hAnsi="Times New Roman"/>
          <w:sz w:val="24"/>
          <w:szCs w:val="24"/>
          <w:lang w:val="bs-Latn-BA"/>
        </w:rPr>
        <w:t>Služba za saradnju, poslove predsjednika i informisanje Opštine Nikšić. U saradnji sa Lokalnim partne</w:t>
      </w:r>
      <w:r>
        <w:rPr>
          <w:rFonts w:ascii="Times New Roman" w:hAnsi="Times New Roman"/>
          <w:sz w:val="24"/>
          <w:szCs w:val="24"/>
          <w:lang w:val="bs-Latn-BA"/>
        </w:rPr>
        <w:t>rstvom</w:t>
      </w:r>
      <w:r w:rsidRPr="00BC4D9E">
        <w:rPr>
          <w:rFonts w:ascii="Times New Roman" w:hAnsi="Times New Roman"/>
          <w:sz w:val="24"/>
          <w:szCs w:val="24"/>
          <w:lang w:val="bs-Latn-BA"/>
        </w:rPr>
        <w:t xml:space="preserve"> za zapošljavanje, Služba </w:t>
      </w:r>
      <w:r>
        <w:rPr>
          <w:rFonts w:ascii="Times New Roman" w:hAnsi="Times New Roman"/>
          <w:sz w:val="24"/>
          <w:szCs w:val="24"/>
          <w:lang w:val="bs-Latn-BA"/>
        </w:rPr>
        <w:t>je</w:t>
      </w:r>
      <w:r w:rsidRPr="00BC4D9E">
        <w:rPr>
          <w:rFonts w:ascii="Times New Roman" w:hAnsi="Times New Roman"/>
          <w:sz w:val="24"/>
          <w:szCs w:val="24"/>
          <w:lang w:val="bs-Latn-BA"/>
        </w:rPr>
        <w:t xml:space="preserve"> priprem</w:t>
      </w:r>
      <w:r>
        <w:rPr>
          <w:rFonts w:ascii="Times New Roman" w:hAnsi="Times New Roman"/>
          <w:sz w:val="24"/>
          <w:szCs w:val="24"/>
          <w:lang w:val="bs-Latn-BA"/>
        </w:rPr>
        <w:t xml:space="preserve">ila </w:t>
      </w:r>
      <w:r w:rsidRPr="00BC4D9E">
        <w:rPr>
          <w:rFonts w:ascii="Times New Roman" w:hAnsi="Times New Roman"/>
          <w:sz w:val="24"/>
          <w:szCs w:val="24"/>
          <w:lang w:val="bs-Latn-BA"/>
        </w:rPr>
        <w:t xml:space="preserve">godišnji </w:t>
      </w:r>
      <w:r>
        <w:rPr>
          <w:rFonts w:ascii="Times New Roman" w:hAnsi="Times New Roman"/>
          <w:sz w:val="24"/>
          <w:szCs w:val="24"/>
          <w:lang w:val="bs-Latn-BA"/>
        </w:rPr>
        <w:t>A</w:t>
      </w:r>
      <w:r w:rsidRPr="00BC4D9E">
        <w:rPr>
          <w:rFonts w:ascii="Times New Roman" w:hAnsi="Times New Roman"/>
          <w:sz w:val="24"/>
          <w:szCs w:val="24"/>
          <w:lang w:val="bs-Latn-BA"/>
        </w:rPr>
        <w:t xml:space="preserve">kcioni plan </w:t>
      </w:r>
      <w:r>
        <w:rPr>
          <w:rFonts w:ascii="Times New Roman" w:hAnsi="Times New Roman"/>
          <w:sz w:val="24"/>
          <w:szCs w:val="24"/>
          <w:lang w:val="bs-Latn-BA"/>
        </w:rPr>
        <w:t xml:space="preserve">za 2024. godinu </w:t>
      </w:r>
      <w:r w:rsidRPr="00BC4D9E">
        <w:rPr>
          <w:rFonts w:ascii="Times New Roman" w:hAnsi="Times New Roman"/>
          <w:sz w:val="24"/>
          <w:szCs w:val="24"/>
          <w:lang w:val="bs-Latn-BA"/>
        </w:rPr>
        <w:t>sa detaljnim aktivnostima usmjerenim ka ostvarenju ciljeva Strategije</w:t>
      </w:r>
      <w:r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BC4D9E">
        <w:rPr>
          <w:rFonts w:ascii="Times New Roman" w:hAnsi="Times New Roman"/>
          <w:sz w:val="24"/>
          <w:szCs w:val="24"/>
          <w:lang w:val="bs-Latn-BA"/>
        </w:rPr>
        <w:t>Akcionim planom za 2024. godinu definisan</w:t>
      </w:r>
      <w:r w:rsidR="00B115C1">
        <w:rPr>
          <w:rFonts w:ascii="Times New Roman" w:hAnsi="Times New Roman"/>
          <w:sz w:val="24"/>
          <w:szCs w:val="24"/>
          <w:lang w:val="bs-Latn-BA"/>
        </w:rPr>
        <w:t>e</w:t>
      </w:r>
      <w:r w:rsidRPr="00BC4D9E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su</w:t>
      </w:r>
      <w:r w:rsidRPr="00BC4D9E">
        <w:rPr>
          <w:rFonts w:ascii="Times New Roman" w:hAnsi="Times New Roman"/>
          <w:sz w:val="24"/>
          <w:szCs w:val="24"/>
          <w:lang w:val="bs-Latn-BA"/>
        </w:rPr>
        <w:t xml:space="preserve"> 23 mjer</w:t>
      </w:r>
      <w:r>
        <w:rPr>
          <w:rFonts w:ascii="Times New Roman" w:hAnsi="Times New Roman"/>
          <w:sz w:val="24"/>
          <w:szCs w:val="24"/>
          <w:lang w:val="bs-Latn-BA"/>
        </w:rPr>
        <w:t>e</w:t>
      </w:r>
      <w:r w:rsidRPr="00BC4D9E">
        <w:rPr>
          <w:rFonts w:ascii="Times New Roman" w:hAnsi="Times New Roman"/>
          <w:sz w:val="24"/>
          <w:szCs w:val="24"/>
          <w:lang w:val="bs-Latn-BA"/>
        </w:rPr>
        <w:t xml:space="preserve"> za realizaciju.</w:t>
      </w:r>
    </w:p>
    <w:p w14:paraId="2C9FDBAE" w14:textId="7BE08E50" w:rsidR="00BC4D9E" w:rsidRPr="006C64ED" w:rsidRDefault="00BC4D9E" w:rsidP="00BC4D9E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Takođe, Služba je</w:t>
      </w:r>
      <w:r w:rsidR="00B115C1">
        <w:rPr>
          <w:rFonts w:ascii="Times New Roman" w:hAnsi="Times New Roman"/>
          <w:sz w:val="24"/>
          <w:szCs w:val="24"/>
          <w:lang w:val="bs-Latn-BA"/>
        </w:rPr>
        <w:t>,</w:t>
      </w:r>
      <w:r>
        <w:rPr>
          <w:rFonts w:ascii="Times New Roman" w:hAnsi="Times New Roman"/>
          <w:sz w:val="24"/>
          <w:szCs w:val="24"/>
          <w:lang w:val="bs-Latn-BA"/>
        </w:rPr>
        <w:t xml:space="preserve"> u saradnji sa članovima Lokalnog partnerstva za zapošljavanje</w:t>
      </w:r>
      <w:r w:rsidR="00B115C1">
        <w:rPr>
          <w:rFonts w:ascii="Times New Roman" w:hAnsi="Times New Roman"/>
          <w:sz w:val="24"/>
          <w:szCs w:val="24"/>
          <w:lang w:val="bs-Latn-BA"/>
        </w:rPr>
        <w:t>,</w:t>
      </w:r>
      <w:r>
        <w:rPr>
          <w:rFonts w:ascii="Times New Roman" w:hAnsi="Times New Roman"/>
          <w:sz w:val="24"/>
          <w:szCs w:val="24"/>
          <w:lang w:val="bs-Latn-BA"/>
        </w:rPr>
        <w:t xml:space="preserve"> pripremila Izvještaj o realizaciji Akcionog plana zapošljavanja za 2024. godinu</w:t>
      </w:r>
      <w:r w:rsidRPr="00BC4D9E">
        <w:rPr>
          <w:rFonts w:ascii="Times New Roman" w:hAnsi="Times New Roman"/>
          <w:sz w:val="24"/>
          <w:szCs w:val="24"/>
          <w:lang w:val="bs-Latn-BA"/>
        </w:rPr>
        <w:t>.</w:t>
      </w:r>
    </w:p>
    <w:p w14:paraId="42F4D8E8" w14:textId="78FFC3F9" w:rsidR="006C64ED" w:rsidRDefault="006C64ED" w:rsidP="006C64ED">
      <w:pPr>
        <w:spacing w:line="360" w:lineRule="auto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070E19F4" w14:textId="77777777" w:rsidR="00BC4D9E" w:rsidRDefault="00BC4D9E" w:rsidP="006C64ED">
      <w:pPr>
        <w:spacing w:line="360" w:lineRule="auto"/>
        <w:rPr>
          <w:rFonts w:ascii="Times New Roman" w:hAnsi="Times New Roman"/>
          <w:i/>
          <w:iCs/>
          <w:noProof/>
          <w:sz w:val="24"/>
          <w:szCs w:val="24"/>
          <w:lang w:val="sr-Latn-CS"/>
        </w:rPr>
      </w:pPr>
    </w:p>
    <w:p w14:paraId="22B64BAE" w14:textId="77777777" w:rsidR="00402D59" w:rsidRDefault="00402D59" w:rsidP="006C64ED">
      <w:pPr>
        <w:spacing w:line="360" w:lineRule="auto"/>
        <w:rPr>
          <w:rFonts w:ascii="Times New Roman" w:hAnsi="Times New Roman"/>
          <w:i/>
          <w:iCs/>
          <w:noProof/>
          <w:sz w:val="24"/>
          <w:szCs w:val="24"/>
          <w:lang w:val="sr-Latn-CS"/>
        </w:rPr>
      </w:pPr>
    </w:p>
    <w:p w14:paraId="094B432A" w14:textId="77777777" w:rsidR="006C64ED" w:rsidRPr="006C64ED" w:rsidRDefault="006C64ED" w:rsidP="006C64ED">
      <w:pPr>
        <w:spacing w:line="360" w:lineRule="auto"/>
        <w:rPr>
          <w:rFonts w:ascii="Times New Roman" w:hAnsi="Times New Roman"/>
          <w:i/>
          <w:iCs/>
          <w:noProof/>
          <w:sz w:val="24"/>
          <w:szCs w:val="24"/>
          <w:lang w:val="sr-Latn-CS"/>
        </w:rPr>
      </w:pPr>
    </w:p>
    <w:tbl>
      <w:tblPr>
        <w:tblStyle w:val="Koordinatnamreatabele"/>
        <w:tblW w:w="15452" w:type="dxa"/>
        <w:tblInd w:w="-866" w:type="dxa"/>
        <w:tblLook w:val="04A0" w:firstRow="1" w:lastRow="0" w:firstColumn="1" w:lastColumn="0" w:noHBand="0" w:noVBand="1"/>
      </w:tblPr>
      <w:tblGrid>
        <w:gridCol w:w="2298"/>
        <w:gridCol w:w="1695"/>
        <w:gridCol w:w="1649"/>
        <w:gridCol w:w="1653"/>
        <w:gridCol w:w="2783"/>
        <w:gridCol w:w="1253"/>
        <w:gridCol w:w="1994"/>
        <w:gridCol w:w="2127"/>
      </w:tblGrid>
      <w:tr w:rsidR="001D70C6" w:rsidRPr="009F1099" w14:paraId="0D28E911" w14:textId="77777777" w:rsidTr="00B71236">
        <w:tc>
          <w:tcPr>
            <w:tcW w:w="1545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</w:tcPr>
          <w:p w14:paraId="1048A4B0" w14:textId="77777777" w:rsidR="001D70C6" w:rsidRPr="009F1099" w:rsidRDefault="001D70C6" w:rsidP="00A60C92">
            <w:pPr>
              <w:pStyle w:val="Default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bookmarkStart w:id="0" w:name="_Hlk192746782"/>
          </w:p>
          <w:p w14:paraId="4DE2B43A" w14:textId="29D79B60" w:rsidR="001D70C6" w:rsidRPr="009F1099" w:rsidRDefault="001D70C6" w:rsidP="00A60C9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  <w:r w:rsidRPr="009F1099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OPERATIVNI CILJ 1: </w:t>
            </w:r>
            <w:r w:rsidR="00694BA9" w:rsidRPr="009F1099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Unapređenje znanja, kompetencija i vještina radne snage u skladu sa potrebama tržišta i novih poslova u strateškim sektorima sa potencijalom rasta</w:t>
            </w:r>
          </w:p>
        </w:tc>
      </w:tr>
      <w:tr w:rsidR="00D676A6" w:rsidRPr="009F1099" w14:paraId="0060DCD3" w14:textId="77777777" w:rsidTr="00756E9F">
        <w:tc>
          <w:tcPr>
            <w:tcW w:w="2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</w:tcPr>
          <w:p w14:paraId="676A7E68" w14:textId="4474FF3A" w:rsidR="00756E9F" w:rsidRPr="009F1099" w:rsidRDefault="00756E9F" w:rsidP="00A6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  <w:r w:rsidRPr="009F1099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 Mjera</w:t>
            </w:r>
          </w:p>
        </w:tc>
        <w:tc>
          <w:tcPr>
            <w:tcW w:w="1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</w:tcPr>
          <w:p w14:paraId="7B805B02" w14:textId="45436B40" w:rsidR="00756E9F" w:rsidRPr="009F1099" w:rsidRDefault="00756E9F" w:rsidP="00A6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  <w:r w:rsidRPr="009F1099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Ciljna grupa</w:t>
            </w:r>
          </w:p>
        </w:tc>
        <w:tc>
          <w:tcPr>
            <w:tcW w:w="1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</w:tcPr>
          <w:p w14:paraId="063045E7" w14:textId="46DE7D2F" w:rsidR="00756E9F" w:rsidRPr="009F1099" w:rsidRDefault="00756E9F" w:rsidP="00A60C9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iCs/>
                <w:noProof/>
                <w:sz w:val="18"/>
                <w:lang w:val="sr-Latn-ME"/>
              </w:rPr>
            </w:pPr>
            <w:r w:rsidRPr="009F1099">
              <w:rPr>
                <w:rFonts w:ascii="Times New Roman" w:eastAsia="Calibri" w:hAnsi="Times New Roman"/>
                <w:b/>
                <w:noProof/>
                <w:sz w:val="18"/>
                <w:lang w:val="sr-Latn-ME"/>
              </w:rPr>
              <w:t>Očekivani rezultat i planiran broj uključenih</w:t>
            </w:r>
          </w:p>
          <w:p w14:paraId="04F6713C" w14:textId="77777777" w:rsidR="00756E9F" w:rsidRPr="009F1099" w:rsidRDefault="00756E9F" w:rsidP="00A6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1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</w:tcPr>
          <w:p w14:paraId="7D62B4C1" w14:textId="2A1EF7DF" w:rsidR="00756E9F" w:rsidRPr="009F1099" w:rsidRDefault="00756E9F" w:rsidP="00A6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  <w:proofErr w:type="spellStart"/>
            <w:r w:rsidRPr="009F1099">
              <w:rPr>
                <w:rFonts w:ascii="Times New Roman" w:hAnsi="Times New Roman" w:cs="Times New Roman"/>
                <w:b/>
                <w:sz w:val="18"/>
                <w:szCs w:val="18"/>
              </w:rPr>
              <w:t>Odgovornost</w:t>
            </w:r>
            <w:proofErr w:type="spellEnd"/>
            <w:r w:rsidRPr="009F10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 </w:t>
            </w:r>
            <w:proofErr w:type="spellStart"/>
            <w:r w:rsidRPr="009F1099">
              <w:rPr>
                <w:rFonts w:ascii="Times New Roman" w:hAnsi="Times New Roman" w:cs="Times New Roman"/>
                <w:b/>
                <w:sz w:val="18"/>
                <w:szCs w:val="18"/>
              </w:rPr>
              <w:t>realizaciju</w:t>
            </w:r>
            <w:proofErr w:type="spellEnd"/>
          </w:p>
        </w:tc>
        <w:tc>
          <w:tcPr>
            <w:tcW w:w="2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</w:tcPr>
          <w:p w14:paraId="4EBD4586" w14:textId="5DE55D52" w:rsidR="00756E9F" w:rsidRPr="009F1099" w:rsidRDefault="00756E9F" w:rsidP="00A6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  <w:r w:rsidRPr="009F1099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Rezultat /</w:t>
            </w:r>
            <w:r w:rsidRPr="009F1099"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  <w:lang w:val="sr-Latn-ME"/>
              </w:rPr>
              <w:t xml:space="preserve"> postignute vrijednosti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</w:tcPr>
          <w:p w14:paraId="669AB916" w14:textId="3CA35DE9" w:rsidR="00756E9F" w:rsidRPr="009F1099" w:rsidRDefault="00756E9F" w:rsidP="00A6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  <w:r w:rsidRPr="009F1099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Izvor finansiranja</w:t>
            </w:r>
          </w:p>
        </w:tc>
        <w:tc>
          <w:tcPr>
            <w:tcW w:w="1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</w:tcPr>
          <w:p w14:paraId="58BB61E0" w14:textId="6762C842" w:rsidR="00756E9F" w:rsidRPr="00B115C1" w:rsidRDefault="00756E9F" w:rsidP="00B115C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9F1099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Status realizacije</w:t>
            </w:r>
            <w:r w:rsidR="00B115C1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 xml:space="preserve"> </w:t>
            </w:r>
            <w:r w:rsidRPr="009F1099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/</w:t>
            </w:r>
            <w:r w:rsidR="00B115C1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 xml:space="preserve"> </w:t>
            </w:r>
            <w:r w:rsidRPr="009F1099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vremenski period (kvartal)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</w:tcPr>
          <w:p w14:paraId="3EC400D6" w14:textId="13E6B063" w:rsidR="00756E9F" w:rsidRPr="009F1099" w:rsidRDefault="00756E9F" w:rsidP="00A6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  <w:r w:rsidRPr="009F1099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Napomene</w:t>
            </w:r>
          </w:p>
        </w:tc>
      </w:tr>
      <w:tr w:rsidR="00756E9F" w:rsidRPr="009F1099" w14:paraId="1C474B29" w14:textId="77777777" w:rsidTr="00756E9F">
        <w:tc>
          <w:tcPr>
            <w:tcW w:w="22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C0367" w14:textId="22CB4EF7" w:rsidR="00756E9F" w:rsidRPr="009F1099" w:rsidRDefault="00756E9F" w:rsidP="00694BA9">
            <w:pPr>
              <w:pStyle w:val="Default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1.1. Poboljšanje uslova za pristup tržištu rada –informisanje, stručni tretman nezaposlenih lica</w:t>
            </w:r>
          </w:p>
        </w:tc>
        <w:tc>
          <w:tcPr>
            <w:tcW w:w="16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B7F48" w14:textId="3FAA9E15" w:rsidR="00756E9F" w:rsidRPr="009F1099" w:rsidRDefault="00756E9F" w:rsidP="00694BA9">
            <w:pPr>
              <w:pStyle w:val="Default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Nezaposlena lica sa evidencije ZZZCG –</w:t>
            </w:r>
            <w:r w:rsidR="00473A4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PJ </w:t>
            </w: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Nikšić</w:t>
            </w:r>
          </w:p>
        </w:tc>
        <w:tc>
          <w:tcPr>
            <w:tcW w:w="1649" w:type="dxa"/>
          </w:tcPr>
          <w:p w14:paraId="4639694A" w14:textId="77777777" w:rsidR="00756E9F" w:rsidRPr="009F1099" w:rsidRDefault="00756E9F" w:rsidP="00756E9F">
            <w:pPr>
              <w:spacing w:line="240" w:lineRule="auto"/>
              <w:rPr>
                <w:rFonts w:ascii="Times New Roman" w:hAnsi="Times New Roman"/>
                <w:sz w:val="18"/>
                <w:lang w:val="bs-Latn-BA"/>
              </w:rPr>
            </w:pPr>
            <w:r w:rsidRPr="009F1099">
              <w:rPr>
                <w:rFonts w:ascii="Times New Roman" w:hAnsi="Times New Roman"/>
                <w:sz w:val="18"/>
                <w:lang w:val="bs-Latn-BA"/>
              </w:rPr>
              <w:t>Nezaposlena lica upoznata sa mogućnostima i uslovima zapošljavanja kroz direktan kontakt, održavanjem info sesija, putem internet portala, brošura i sl.</w:t>
            </w:r>
          </w:p>
          <w:p w14:paraId="238920E3" w14:textId="53A98C1A" w:rsidR="00756E9F" w:rsidRPr="009F1099" w:rsidRDefault="00756E9F" w:rsidP="00756E9F">
            <w:pPr>
              <w:spacing w:line="240" w:lineRule="auto"/>
              <w:rPr>
                <w:rFonts w:ascii="Times New Roman" w:hAnsi="Times New Roman"/>
                <w:sz w:val="18"/>
                <w:lang w:val="bs-Latn-BA"/>
              </w:rPr>
            </w:pPr>
            <w:r w:rsidRPr="009F1099">
              <w:rPr>
                <w:rFonts w:ascii="Times New Roman" w:hAnsi="Times New Roman"/>
                <w:sz w:val="18"/>
                <w:lang w:val="bs-Latn-BA"/>
              </w:rPr>
              <w:t>Najmanje 3</w:t>
            </w:r>
            <w:r w:rsidR="00B115C1">
              <w:rPr>
                <w:rFonts w:ascii="Times New Roman" w:hAnsi="Times New Roman"/>
                <w:sz w:val="18"/>
                <w:lang w:val="bs-Latn-BA"/>
              </w:rPr>
              <w:t>.</w:t>
            </w:r>
            <w:r w:rsidRPr="009F1099">
              <w:rPr>
                <w:rFonts w:ascii="Times New Roman" w:hAnsi="Times New Roman"/>
                <w:sz w:val="18"/>
                <w:lang w:val="bs-Latn-BA"/>
              </w:rPr>
              <w:t>000 utvrđenih individualnih planova zapošljavanja</w:t>
            </w:r>
          </w:p>
          <w:p w14:paraId="7EFB0DBF" w14:textId="77777777" w:rsidR="00756E9F" w:rsidRPr="009F1099" w:rsidRDefault="00756E9F" w:rsidP="009F10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lang w:val="bs-Latn-BA"/>
              </w:rPr>
            </w:pPr>
            <w:r w:rsidRPr="009F1099">
              <w:rPr>
                <w:rFonts w:ascii="Times New Roman" w:hAnsi="Times New Roman"/>
                <w:sz w:val="18"/>
                <w:lang w:val="bs-Latn-BA"/>
              </w:rPr>
              <w:t xml:space="preserve">35.000 realizovanih konsultacija </w:t>
            </w:r>
          </w:p>
          <w:p w14:paraId="6633635C" w14:textId="77777777" w:rsidR="00756E9F" w:rsidRPr="009F1099" w:rsidRDefault="00756E9F" w:rsidP="009F1099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sz w:val="18"/>
                <w:lang w:val="bs-Latn-BA"/>
              </w:rPr>
            </w:pPr>
          </w:p>
          <w:p w14:paraId="053EA030" w14:textId="6CCF8A65" w:rsidR="00756E9F" w:rsidRPr="009F1099" w:rsidRDefault="00756E9F" w:rsidP="009F1099">
            <w:pPr>
              <w:spacing w:after="0" w:line="240" w:lineRule="auto"/>
              <w:rPr>
                <w:rFonts w:ascii="Times New Roman" w:eastAsia="Calibri" w:hAnsi="Times New Roman"/>
                <w:bCs/>
                <w:noProof/>
                <w:sz w:val="18"/>
                <w:lang w:val="sr-Latn-ME"/>
              </w:rPr>
            </w:pPr>
            <w:r w:rsidRPr="009F1099">
              <w:rPr>
                <w:rFonts w:ascii="Times New Roman" w:eastAsia="Calibri" w:hAnsi="Times New Roman"/>
                <w:bCs/>
                <w:noProof/>
                <w:sz w:val="18"/>
                <w:lang w:val="sr-Latn-ME"/>
              </w:rPr>
              <w:t>3</w:t>
            </w:r>
            <w:r w:rsidR="00982974">
              <w:rPr>
                <w:rFonts w:ascii="Times New Roman" w:eastAsia="Calibri" w:hAnsi="Times New Roman"/>
                <w:bCs/>
                <w:noProof/>
                <w:sz w:val="18"/>
                <w:lang w:val="sr-Latn-ME"/>
              </w:rPr>
              <w:t>.</w:t>
            </w:r>
            <w:r w:rsidRPr="009F1099">
              <w:rPr>
                <w:rFonts w:ascii="Times New Roman" w:eastAsia="Calibri" w:hAnsi="Times New Roman"/>
                <w:bCs/>
                <w:noProof/>
                <w:sz w:val="18"/>
                <w:lang w:val="sr-Latn-ME"/>
              </w:rPr>
              <w:t>000 uključenih</w:t>
            </w:r>
          </w:p>
        </w:tc>
        <w:tc>
          <w:tcPr>
            <w:tcW w:w="16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F94C" w14:textId="65386941" w:rsidR="00756E9F" w:rsidRPr="009F1099" w:rsidRDefault="00756E9F" w:rsidP="00402D5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ZZZCG</w:t>
            </w:r>
            <w:r w:rsidR="0098297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–</w:t>
            </w: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473A4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PJ</w:t>
            </w: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Nikšić</w:t>
            </w:r>
          </w:p>
        </w:tc>
        <w:tc>
          <w:tcPr>
            <w:tcW w:w="27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935F4" w14:textId="468229A7" w:rsidR="00756E9F" w:rsidRPr="009F1099" w:rsidRDefault="00756E9F" w:rsidP="00694BA9">
            <w:pPr>
              <w:jc w:val="both"/>
              <w:rPr>
                <w:rFonts w:ascii="Times New Roman" w:hAnsi="Times New Roman"/>
                <w:sz w:val="18"/>
                <w:lang w:val="bs-Latn-BA"/>
              </w:rPr>
            </w:pPr>
            <w:r w:rsidRPr="009F1099">
              <w:rPr>
                <w:rFonts w:ascii="Times New Roman" w:hAnsi="Times New Roman"/>
                <w:sz w:val="18"/>
                <w:lang w:val="bs-Latn-BA"/>
              </w:rPr>
              <w:t>Broj zakazanih aktivnosti 36</w:t>
            </w:r>
            <w:r w:rsidR="00982974">
              <w:rPr>
                <w:rFonts w:ascii="Times New Roman" w:hAnsi="Times New Roman"/>
                <w:sz w:val="18"/>
                <w:lang w:val="bs-Latn-BA"/>
              </w:rPr>
              <w:t>.</w:t>
            </w:r>
            <w:r w:rsidRPr="009F1099">
              <w:rPr>
                <w:rFonts w:ascii="Times New Roman" w:hAnsi="Times New Roman"/>
                <w:sz w:val="18"/>
                <w:lang w:val="bs-Latn-BA"/>
              </w:rPr>
              <w:t>605, realizovanih 33</w:t>
            </w:r>
            <w:r w:rsidR="00982974">
              <w:rPr>
                <w:rFonts w:ascii="Times New Roman" w:hAnsi="Times New Roman"/>
                <w:sz w:val="18"/>
                <w:lang w:val="bs-Latn-BA"/>
              </w:rPr>
              <w:t>.</w:t>
            </w:r>
            <w:r w:rsidRPr="009F1099">
              <w:rPr>
                <w:rFonts w:ascii="Times New Roman" w:hAnsi="Times New Roman"/>
                <w:sz w:val="18"/>
                <w:lang w:val="bs-Latn-BA"/>
              </w:rPr>
              <w:t xml:space="preserve">863 </w:t>
            </w:r>
          </w:p>
          <w:p w14:paraId="69B7AF4C" w14:textId="77777777" w:rsidR="00756E9F" w:rsidRPr="009F1099" w:rsidRDefault="00756E9F" w:rsidP="00694BA9">
            <w:pPr>
              <w:jc w:val="both"/>
              <w:rPr>
                <w:rFonts w:ascii="Times New Roman" w:hAnsi="Times New Roman"/>
                <w:sz w:val="18"/>
                <w:lang w:val="bs-Latn-BA"/>
              </w:rPr>
            </w:pPr>
          </w:p>
          <w:p w14:paraId="46CCF8C2" w14:textId="0A84C489" w:rsidR="00756E9F" w:rsidRPr="009F1099" w:rsidRDefault="00756E9F" w:rsidP="00756E9F">
            <w:pPr>
              <w:rPr>
                <w:rFonts w:ascii="Times New Roman" w:hAnsi="Times New Roman"/>
                <w:sz w:val="18"/>
                <w:lang w:val="bs-Latn-BA"/>
              </w:rPr>
            </w:pPr>
            <w:r w:rsidRPr="009F1099">
              <w:rPr>
                <w:rFonts w:ascii="Times New Roman" w:hAnsi="Times New Roman"/>
                <w:sz w:val="18"/>
                <w:lang w:val="bs-Latn-BA"/>
              </w:rPr>
              <w:t>Broj zakazanih planova zapošljavanja 28</w:t>
            </w:r>
            <w:r w:rsidR="00982974">
              <w:rPr>
                <w:rFonts w:ascii="Times New Roman" w:hAnsi="Times New Roman"/>
                <w:sz w:val="18"/>
                <w:lang w:val="bs-Latn-BA"/>
              </w:rPr>
              <w:t>.</w:t>
            </w:r>
            <w:r w:rsidRPr="009F1099">
              <w:rPr>
                <w:rFonts w:ascii="Times New Roman" w:hAnsi="Times New Roman"/>
                <w:sz w:val="18"/>
                <w:lang w:val="bs-Latn-BA"/>
              </w:rPr>
              <w:t>390, realizovanih 27</w:t>
            </w:r>
            <w:r w:rsidR="00982974">
              <w:rPr>
                <w:rFonts w:ascii="Times New Roman" w:hAnsi="Times New Roman"/>
                <w:sz w:val="18"/>
                <w:lang w:val="bs-Latn-BA"/>
              </w:rPr>
              <w:t>.</w:t>
            </w:r>
            <w:r w:rsidRPr="009F1099">
              <w:rPr>
                <w:rFonts w:ascii="Times New Roman" w:hAnsi="Times New Roman"/>
                <w:sz w:val="18"/>
                <w:lang w:val="bs-Latn-BA"/>
              </w:rPr>
              <w:t>066</w:t>
            </w:r>
          </w:p>
          <w:p w14:paraId="1DCFCABA" w14:textId="77777777" w:rsidR="00756E9F" w:rsidRPr="009F1099" w:rsidRDefault="00756E9F" w:rsidP="00694BA9">
            <w:pPr>
              <w:pStyle w:val="Default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0D8C" w14:textId="7501AF09" w:rsidR="00756E9F" w:rsidRPr="009F1099" w:rsidRDefault="00756E9F" w:rsidP="00694BA9">
            <w:pPr>
              <w:pStyle w:val="Default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 w:rsidRPr="009F1099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Redovna budžetska sredstva ZZZ</w:t>
            </w:r>
            <w:r w:rsidR="006B2C6C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CG</w:t>
            </w:r>
            <w:r w:rsidRPr="009F1099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 xml:space="preserve"> – </w:t>
            </w:r>
            <w:r w:rsidR="00473A48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PJ</w:t>
            </w:r>
            <w:r w:rsidRPr="009F1099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 xml:space="preserve"> Nikšić</w:t>
            </w:r>
          </w:p>
        </w:tc>
        <w:tc>
          <w:tcPr>
            <w:tcW w:w="1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194BF" w14:textId="4AD63848" w:rsidR="00756E9F" w:rsidRPr="00FF6895" w:rsidRDefault="00756E9F" w:rsidP="00694BA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Realizovano</w:t>
            </w:r>
            <w:r w:rsidR="00FF689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I–IV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498F42" w14:textId="2F4E8A17" w:rsidR="00756E9F" w:rsidRPr="009F1099" w:rsidRDefault="00756E9F" w:rsidP="00694BA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  <w:p w14:paraId="3B21D724" w14:textId="2E0274FB" w:rsidR="00756E9F" w:rsidRPr="009F1099" w:rsidRDefault="00756E9F" w:rsidP="00694BA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</w:tc>
      </w:tr>
      <w:tr w:rsidR="00D676A6" w:rsidRPr="009F1099" w14:paraId="39BFD672" w14:textId="77777777" w:rsidTr="00755077">
        <w:trPr>
          <w:trHeight w:val="2535"/>
        </w:trPr>
        <w:tc>
          <w:tcPr>
            <w:tcW w:w="2298" w:type="dxa"/>
            <w:vMerge w:val="restart"/>
            <w:tcBorders>
              <w:left w:val="double" w:sz="4" w:space="0" w:color="auto"/>
            </w:tcBorders>
          </w:tcPr>
          <w:p w14:paraId="4B59EAE6" w14:textId="77777777" w:rsidR="00D676A6" w:rsidRPr="009F1099" w:rsidRDefault="00D676A6" w:rsidP="00DE76C6">
            <w:pPr>
              <w:rPr>
                <w:rFonts w:ascii="Times New Roman" w:hAnsi="Times New Roman"/>
                <w:sz w:val="18"/>
                <w:lang w:val="bs-Latn-BA"/>
              </w:rPr>
            </w:pPr>
            <w:r w:rsidRPr="009F1099">
              <w:rPr>
                <w:rFonts w:ascii="Times New Roman" w:hAnsi="Times New Roman"/>
                <w:sz w:val="18"/>
                <w:lang w:val="bs-Latn-BA"/>
              </w:rPr>
              <w:t>1.2. Programi obrazovanja i osposobljavanja (ZZZCG)</w:t>
            </w:r>
          </w:p>
          <w:p w14:paraId="6645BF03" w14:textId="77777777" w:rsidR="00D676A6" w:rsidRPr="009F1099" w:rsidRDefault="00D676A6" w:rsidP="00DE76C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1695" w:type="dxa"/>
            <w:vMerge w:val="restart"/>
          </w:tcPr>
          <w:p w14:paraId="1CBDBFD1" w14:textId="6DE213F3" w:rsidR="00D676A6" w:rsidRPr="009F1099" w:rsidRDefault="00D676A6" w:rsidP="00402D5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Nezaposlena lica sa evidencije ZZZCG –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PJ </w:t>
            </w: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Nikšić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1D0D6" w14:textId="77777777" w:rsidR="00D676A6" w:rsidRPr="009F1099" w:rsidRDefault="00D676A6" w:rsidP="00DE76C6">
            <w:pPr>
              <w:rPr>
                <w:rFonts w:ascii="Times New Roman" w:hAnsi="Times New Roman"/>
                <w:sz w:val="18"/>
                <w:lang w:val="bs-Latn-BA"/>
              </w:rPr>
            </w:pPr>
            <w:r w:rsidRPr="009F1099">
              <w:rPr>
                <w:rFonts w:ascii="Times New Roman" w:hAnsi="Times New Roman"/>
                <w:sz w:val="18"/>
                <w:lang w:val="bs-Latn-BA"/>
              </w:rPr>
              <w:t xml:space="preserve">Najmanje </w:t>
            </w:r>
            <w:r w:rsidRPr="001D31A7">
              <w:rPr>
                <w:rFonts w:ascii="Times New Roman" w:hAnsi="Times New Roman"/>
                <w:sz w:val="18"/>
                <w:lang w:val="bs-Latn-BA"/>
              </w:rPr>
              <w:t xml:space="preserve">26 </w:t>
            </w:r>
            <w:r w:rsidRPr="009F1099">
              <w:rPr>
                <w:rFonts w:ascii="Times New Roman" w:hAnsi="Times New Roman"/>
                <w:sz w:val="18"/>
                <w:lang w:val="bs-Latn-BA"/>
              </w:rPr>
              <w:t>(5 frizera, 4 računovodstvena tehničara i 17 lica koja će završiti kurs engleskog jezika) lica uključeno u programe obrazovanja i osposobljavanja</w:t>
            </w:r>
          </w:p>
          <w:p w14:paraId="367473B7" w14:textId="4B32D591" w:rsidR="00D676A6" w:rsidRPr="009F1099" w:rsidRDefault="00D676A6" w:rsidP="00DE76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noProof/>
                <w:sz w:val="18"/>
                <w:lang w:val="sr-Latn-ME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81590" w14:textId="2ADE5150" w:rsidR="00D676A6" w:rsidRPr="009F1099" w:rsidRDefault="00D676A6" w:rsidP="00402D5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ZZZCG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–</w:t>
            </w: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PJ </w:t>
            </w: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Nikšić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39950" w14:textId="4B20089F" w:rsidR="00D676A6" w:rsidRPr="009F1099" w:rsidRDefault="00D676A6" w:rsidP="00DE76C6">
            <w:pPr>
              <w:rPr>
                <w:rFonts w:ascii="Times New Roman" w:hAnsi="Times New Roman"/>
                <w:sz w:val="18"/>
                <w:lang w:val="bs-Latn-BA"/>
              </w:rPr>
            </w:pPr>
            <w:r w:rsidRPr="009F1099">
              <w:rPr>
                <w:rFonts w:ascii="Times New Roman" w:hAnsi="Times New Roman"/>
                <w:sz w:val="18"/>
                <w:lang w:val="bs-Latn-BA"/>
              </w:rPr>
              <w:t>Preko ZZZCG</w:t>
            </w:r>
            <w:r>
              <w:rPr>
                <w:rFonts w:ascii="Times New Roman" w:hAnsi="Times New Roman"/>
                <w:sz w:val="18"/>
                <w:lang w:val="bs-Latn-BA"/>
              </w:rPr>
              <w:t xml:space="preserve"> – </w:t>
            </w:r>
            <w:r w:rsidRPr="009F1099">
              <w:rPr>
                <w:rFonts w:ascii="Times New Roman" w:hAnsi="Times New Roman"/>
                <w:sz w:val="18"/>
                <w:lang w:val="bs-Latn-BA"/>
              </w:rPr>
              <w:t>PJ Nikšić realizovano je sljedeće:</w:t>
            </w:r>
          </w:p>
          <w:p w14:paraId="343D4E3B" w14:textId="6DD712E9" w:rsidR="00D676A6" w:rsidRPr="009F1099" w:rsidRDefault="00D676A6" w:rsidP="00DE76C6">
            <w:pPr>
              <w:rPr>
                <w:rFonts w:ascii="Times New Roman" w:hAnsi="Times New Roman"/>
                <w:sz w:val="18"/>
                <w:lang w:val="bs-Latn-BA"/>
              </w:rPr>
            </w:pPr>
            <w:r w:rsidRPr="009F1099">
              <w:rPr>
                <w:rFonts w:ascii="Times New Roman" w:hAnsi="Times New Roman"/>
                <w:sz w:val="18"/>
                <w:lang w:val="bs-Latn-BA"/>
              </w:rPr>
              <w:t>8 polaznika za učenje engleskog jezika</w:t>
            </w:r>
            <w:r>
              <w:rPr>
                <w:rFonts w:ascii="Times New Roman" w:hAnsi="Times New Roman"/>
                <w:sz w:val="18"/>
                <w:lang w:val="bs-Latn-BA"/>
              </w:rPr>
              <w:t xml:space="preserve"> – </w:t>
            </w:r>
            <w:r w:rsidRPr="009F1099">
              <w:rPr>
                <w:rFonts w:ascii="Times New Roman" w:hAnsi="Times New Roman"/>
                <w:sz w:val="18"/>
                <w:lang w:val="bs-Latn-BA"/>
              </w:rPr>
              <w:t>početni nivo</w:t>
            </w:r>
          </w:p>
          <w:p w14:paraId="2EEF01CE" w14:textId="7ABB2BB0" w:rsidR="00D676A6" w:rsidRPr="009F1099" w:rsidRDefault="00D676A6" w:rsidP="00DE76C6">
            <w:pPr>
              <w:rPr>
                <w:rFonts w:ascii="Times New Roman" w:hAnsi="Times New Roman"/>
                <w:sz w:val="18"/>
                <w:lang w:val="bs-Latn-BA"/>
              </w:rPr>
            </w:pPr>
            <w:r w:rsidRPr="009F1099">
              <w:rPr>
                <w:rFonts w:ascii="Times New Roman" w:hAnsi="Times New Roman"/>
                <w:sz w:val="18"/>
                <w:lang w:val="bs-Latn-BA"/>
              </w:rPr>
              <w:t>9 polaznika za učenje engleskog jezika</w:t>
            </w:r>
            <w:r>
              <w:rPr>
                <w:rFonts w:ascii="Times New Roman" w:hAnsi="Times New Roman"/>
                <w:sz w:val="18"/>
                <w:lang w:val="bs-Latn-BA"/>
              </w:rPr>
              <w:t xml:space="preserve"> – </w:t>
            </w:r>
            <w:r w:rsidRPr="009F1099">
              <w:rPr>
                <w:rFonts w:ascii="Times New Roman" w:hAnsi="Times New Roman"/>
                <w:sz w:val="18"/>
                <w:lang w:val="bs-Latn-BA"/>
              </w:rPr>
              <w:t>napredni nivo</w:t>
            </w:r>
          </w:p>
          <w:p w14:paraId="7BB0063B" w14:textId="018F9D5C" w:rsidR="00D676A6" w:rsidRPr="009F1099" w:rsidRDefault="00D676A6" w:rsidP="00DE76C6">
            <w:pPr>
              <w:rPr>
                <w:rFonts w:ascii="Times New Roman" w:hAnsi="Times New Roman"/>
                <w:b/>
                <w:sz w:val="18"/>
                <w:lang w:val="hr-HR"/>
              </w:rPr>
            </w:pPr>
            <w:r w:rsidRPr="009F1099">
              <w:rPr>
                <w:rFonts w:ascii="Times New Roman" w:hAnsi="Times New Roman"/>
                <w:sz w:val="18"/>
                <w:lang w:val="bs-Latn-BA"/>
              </w:rPr>
              <w:t>6</w:t>
            </w:r>
            <w:r>
              <w:rPr>
                <w:rFonts w:ascii="Times New Roman" w:hAnsi="Times New Roman"/>
                <w:sz w:val="18"/>
                <w:lang w:val="bs-Latn-BA"/>
              </w:rPr>
              <w:t xml:space="preserve"> – </w:t>
            </w:r>
            <w:r w:rsidRPr="009F1099">
              <w:rPr>
                <w:rFonts w:ascii="Times New Roman" w:hAnsi="Times New Roman"/>
                <w:sz w:val="18"/>
                <w:lang w:val="bs-Latn-BA"/>
              </w:rPr>
              <w:t>polaznika za sticanje stručne kvalifikacij</w:t>
            </w:r>
            <w:r>
              <w:rPr>
                <w:rFonts w:ascii="Times New Roman" w:hAnsi="Times New Roman"/>
                <w:sz w:val="18"/>
                <w:lang w:val="bs-Latn-BA"/>
              </w:rPr>
              <w:t>e</w:t>
            </w:r>
            <w:r w:rsidRPr="009F1099">
              <w:rPr>
                <w:rFonts w:ascii="Times New Roman" w:hAnsi="Times New Roman"/>
                <w:sz w:val="18"/>
                <w:lang w:val="bs-Latn-BA"/>
              </w:rPr>
              <w:t xml:space="preserve"> računovodstveni tehničar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7524C" w14:textId="7843364D" w:rsidR="00D676A6" w:rsidRPr="009F1099" w:rsidRDefault="00D676A6" w:rsidP="00DE76C6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 w:rsidRPr="009F1099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 xml:space="preserve">Redovna budžetska sredstva ZZZ –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 xml:space="preserve">PJ </w:t>
            </w:r>
            <w:r w:rsidRPr="009F1099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Nikšić</w:t>
            </w:r>
          </w:p>
          <w:p w14:paraId="7E38235E" w14:textId="61F3BB23" w:rsidR="00D676A6" w:rsidRPr="009F1099" w:rsidRDefault="00D676A6" w:rsidP="00DE76C6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</w:p>
          <w:p w14:paraId="5E5F06F4" w14:textId="7E9AA54A" w:rsidR="00D676A6" w:rsidRPr="009F1099" w:rsidRDefault="00D676A6" w:rsidP="00DE76C6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</w:p>
          <w:p w14:paraId="0DC4023E" w14:textId="3396CFD4" w:rsidR="00D676A6" w:rsidRPr="009F1099" w:rsidRDefault="00D676A6" w:rsidP="00DE76C6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</w:p>
          <w:p w14:paraId="3BAFC08C" w14:textId="607A8E1A" w:rsidR="00D676A6" w:rsidRPr="009F1099" w:rsidRDefault="00D676A6" w:rsidP="00DE76C6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</w:p>
          <w:p w14:paraId="58AA7414" w14:textId="1E340E0A" w:rsidR="00D676A6" w:rsidRPr="009F1099" w:rsidRDefault="00D676A6" w:rsidP="00DE76C6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</w:p>
          <w:p w14:paraId="4E0B6941" w14:textId="26D1B15D" w:rsidR="00D676A6" w:rsidRPr="009F1099" w:rsidRDefault="00D676A6" w:rsidP="00DE76C6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</w:p>
          <w:p w14:paraId="558E12F4" w14:textId="4679F022" w:rsidR="00D676A6" w:rsidRPr="009F1099" w:rsidRDefault="00D676A6" w:rsidP="00DE76C6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</w:p>
          <w:p w14:paraId="4EFE2BDB" w14:textId="77777777" w:rsidR="00D676A6" w:rsidRPr="009F1099" w:rsidRDefault="00D676A6" w:rsidP="00DE76C6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</w:p>
          <w:p w14:paraId="2AEC0C3B" w14:textId="46EFCA48" w:rsidR="00D676A6" w:rsidRPr="009F1099" w:rsidRDefault="00D676A6" w:rsidP="00DE76C6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0495" w14:textId="262EFB31" w:rsidR="00D676A6" w:rsidRPr="00FF6895" w:rsidRDefault="00D676A6" w:rsidP="00FF6895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Realizovano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I–IV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B5747BF" w14:textId="7D4A7F4C" w:rsidR="00D676A6" w:rsidRPr="009F1099" w:rsidRDefault="00D676A6" w:rsidP="00DE76C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  <w:p w14:paraId="31AC5109" w14:textId="77777777" w:rsidR="00D676A6" w:rsidRDefault="00D676A6" w:rsidP="00D676A6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</w:p>
          <w:p w14:paraId="2DED717F" w14:textId="77777777" w:rsidR="00D676A6" w:rsidRDefault="00D676A6" w:rsidP="00D676A6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</w:p>
          <w:p w14:paraId="5B80A492" w14:textId="77777777" w:rsidR="00D676A6" w:rsidRDefault="00D676A6" w:rsidP="00D676A6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</w:p>
          <w:p w14:paraId="4BB37CF4" w14:textId="77777777" w:rsidR="00D676A6" w:rsidRDefault="00D676A6" w:rsidP="00D676A6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</w:p>
          <w:p w14:paraId="47FC61B8" w14:textId="77777777" w:rsidR="00D676A6" w:rsidRDefault="00D676A6" w:rsidP="00D676A6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</w:p>
          <w:p w14:paraId="2F617EBB" w14:textId="77777777" w:rsidR="00D676A6" w:rsidRDefault="00D676A6" w:rsidP="00D676A6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</w:p>
          <w:p w14:paraId="39CC2D4F" w14:textId="77777777" w:rsidR="00D676A6" w:rsidRDefault="00D676A6" w:rsidP="00D676A6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</w:p>
          <w:p w14:paraId="4E434A7F" w14:textId="77777777" w:rsidR="00D676A6" w:rsidRDefault="00D676A6" w:rsidP="00D676A6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</w:p>
          <w:p w14:paraId="06007261" w14:textId="77777777" w:rsidR="00D676A6" w:rsidRDefault="00D676A6" w:rsidP="00D676A6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</w:p>
          <w:p w14:paraId="1595A1E2" w14:textId="77777777" w:rsidR="00D676A6" w:rsidRDefault="00D676A6" w:rsidP="00D676A6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</w:p>
          <w:p w14:paraId="6E1FD31B" w14:textId="77777777" w:rsidR="00D676A6" w:rsidRDefault="00D676A6" w:rsidP="00D676A6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</w:p>
          <w:p w14:paraId="6B0BAB84" w14:textId="6D46C0EB" w:rsidR="00D676A6" w:rsidRPr="00D676A6" w:rsidRDefault="00D676A6" w:rsidP="00D676A6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</w:p>
        </w:tc>
      </w:tr>
      <w:tr w:rsidR="00D676A6" w:rsidRPr="009F1099" w14:paraId="28208A40" w14:textId="77777777" w:rsidTr="00755077">
        <w:trPr>
          <w:trHeight w:val="945"/>
        </w:trPr>
        <w:tc>
          <w:tcPr>
            <w:tcW w:w="2298" w:type="dxa"/>
            <w:vMerge/>
            <w:tcBorders>
              <w:left w:val="double" w:sz="4" w:space="0" w:color="auto"/>
            </w:tcBorders>
          </w:tcPr>
          <w:p w14:paraId="45833DF3" w14:textId="77777777" w:rsidR="00D676A6" w:rsidRPr="009F1099" w:rsidRDefault="00D676A6" w:rsidP="00DE76C6">
            <w:pPr>
              <w:rPr>
                <w:rFonts w:ascii="Times New Roman" w:hAnsi="Times New Roman"/>
                <w:sz w:val="18"/>
                <w:lang w:val="bs-Latn-BA"/>
              </w:rPr>
            </w:pPr>
          </w:p>
        </w:tc>
        <w:tc>
          <w:tcPr>
            <w:tcW w:w="1695" w:type="dxa"/>
            <w:vMerge/>
          </w:tcPr>
          <w:p w14:paraId="56EC65EC" w14:textId="77777777" w:rsidR="00D676A6" w:rsidRPr="009F1099" w:rsidRDefault="00D676A6" w:rsidP="00402D59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F5FC" w14:textId="77777777" w:rsidR="00D676A6" w:rsidRPr="009F1099" w:rsidRDefault="00D676A6" w:rsidP="00DE76C6">
            <w:pPr>
              <w:rPr>
                <w:rFonts w:ascii="Times New Roman" w:hAnsi="Times New Roman"/>
                <w:sz w:val="18"/>
                <w:lang w:val="bs-Latn-BA"/>
              </w:rPr>
            </w:pPr>
          </w:p>
        </w:tc>
        <w:tc>
          <w:tcPr>
            <w:tcW w:w="1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FA9ED" w14:textId="4CF44F69" w:rsidR="00D676A6" w:rsidRPr="009F1099" w:rsidRDefault="00F01D52" w:rsidP="00402D59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Opština Nikšić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229A" w14:textId="77777777" w:rsidR="00D676A6" w:rsidRPr="009F1099" w:rsidRDefault="00D676A6" w:rsidP="00D676A6">
            <w:pPr>
              <w:spacing w:after="0" w:line="240" w:lineRule="auto"/>
              <w:rPr>
                <w:rFonts w:ascii="Times New Roman" w:hAnsi="Times New Roman"/>
                <w:sz w:val="18"/>
                <w:lang w:val="bs-Latn-BA"/>
              </w:rPr>
            </w:pPr>
            <w:r w:rsidRPr="009F1099">
              <w:rPr>
                <w:rFonts w:ascii="Times New Roman" w:hAnsi="Times New Roman"/>
                <w:sz w:val="18"/>
                <w:lang w:val="bs-Latn-BA"/>
              </w:rPr>
              <w:t>U okviru projekta „Program izvrsnosti zapošlj</w:t>
            </w:r>
            <w:r>
              <w:rPr>
                <w:rFonts w:ascii="Times New Roman" w:hAnsi="Times New Roman"/>
                <w:sz w:val="18"/>
                <w:lang w:val="bs-Latn-BA"/>
              </w:rPr>
              <w:t>a</w:t>
            </w:r>
            <w:r w:rsidRPr="009F1099">
              <w:rPr>
                <w:rFonts w:ascii="Times New Roman" w:hAnsi="Times New Roman"/>
                <w:sz w:val="18"/>
                <w:lang w:val="bs-Latn-BA"/>
              </w:rPr>
              <w:t>vanja“:</w:t>
            </w:r>
          </w:p>
          <w:p w14:paraId="12FB4444" w14:textId="77777777" w:rsidR="00D676A6" w:rsidRPr="009F1099" w:rsidRDefault="00D676A6" w:rsidP="00D676A6">
            <w:pPr>
              <w:spacing w:after="0" w:line="240" w:lineRule="auto"/>
              <w:rPr>
                <w:rFonts w:ascii="Times New Roman" w:hAnsi="Times New Roman"/>
                <w:sz w:val="18"/>
                <w:lang w:val="bs-Latn-BA"/>
              </w:rPr>
            </w:pPr>
            <w:r w:rsidRPr="009F1099">
              <w:rPr>
                <w:rFonts w:ascii="Times New Roman" w:hAnsi="Times New Roman"/>
                <w:sz w:val="18"/>
                <w:lang w:val="bs-Latn-BA"/>
              </w:rPr>
              <w:t>7 osoba je prošlo obuku za asistenta u nastavi</w:t>
            </w:r>
          </w:p>
          <w:p w14:paraId="4C76A1C5" w14:textId="77777777" w:rsidR="00D676A6" w:rsidRPr="009F1099" w:rsidRDefault="00D676A6" w:rsidP="00D676A6">
            <w:pPr>
              <w:spacing w:after="0" w:line="240" w:lineRule="auto"/>
              <w:rPr>
                <w:rFonts w:ascii="Times New Roman" w:hAnsi="Times New Roman"/>
                <w:sz w:val="18"/>
                <w:lang w:val="bs-Latn-BA"/>
              </w:rPr>
            </w:pPr>
            <w:r w:rsidRPr="009F1099">
              <w:rPr>
                <w:rFonts w:ascii="Times New Roman" w:hAnsi="Times New Roman"/>
                <w:sz w:val="18"/>
                <w:lang w:val="bs-Latn-BA"/>
              </w:rPr>
              <w:lastRenderedPageBreak/>
              <w:t>9 osoba za pomoćne poslove u računovodstvu</w:t>
            </w:r>
          </w:p>
          <w:p w14:paraId="7E28DDD3" w14:textId="77777777" w:rsidR="00D676A6" w:rsidRPr="009F1099" w:rsidRDefault="00D676A6" w:rsidP="00D676A6">
            <w:pPr>
              <w:spacing w:after="0" w:line="240" w:lineRule="auto"/>
              <w:rPr>
                <w:rFonts w:ascii="Times New Roman" w:hAnsi="Times New Roman"/>
                <w:sz w:val="18"/>
                <w:lang w:val="bs-Latn-BA"/>
              </w:rPr>
            </w:pPr>
            <w:r w:rsidRPr="009F1099">
              <w:rPr>
                <w:rFonts w:ascii="Times New Roman" w:hAnsi="Times New Roman"/>
                <w:sz w:val="18"/>
                <w:lang w:val="bs-Latn-BA"/>
              </w:rPr>
              <w:t>8 osoba napredni kurs računara (PowerPoint i Excel)</w:t>
            </w:r>
          </w:p>
          <w:p w14:paraId="00D2F100" w14:textId="77777777" w:rsidR="00D676A6" w:rsidRPr="009F1099" w:rsidRDefault="00D676A6" w:rsidP="00D676A6">
            <w:pPr>
              <w:spacing w:after="0" w:line="240" w:lineRule="auto"/>
              <w:rPr>
                <w:rFonts w:ascii="Times New Roman" w:hAnsi="Times New Roman"/>
                <w:sz w:val="18"/>
                <w:lang w:val="bs-Latn-BA"/>
              </w:rPr>
            </w:pPr>
            <w:r w:rsidRPr="009F1099">
              <w:rPr>
                <w:rFonts w:ascii="Times New Roman" w:hAnsi="Times New Roman"/>
                <w:sz w:val="18"/>
                <w:lang w:val="bs-Latn-BA"/>
              </w:rPr>
              <w:t>1 osoba za zaštitara lica i imovine</w:t>
            </w:r>
          </w:p>
          <w:p w14:paraId="37743E87" w14:textId="77777777" w:rsidR="00D676A6" w:rsidRPr="009F1099" w:rsidRDefault="00D676A6" w:rsidP="00D676A6">
            <w:pPr>
              <w:spacing w:after="0" w:line="240" w:lineRule="auto"/>
              <w:rPr>
                <w:rFonts w:ascii="Times New Roman" w:hAnsi="Times New Roman"/>
                <w:sz w:val="18"/>
                <w:lang w:val="bs-Latn-BA"/>
              </w:rPr>
            </w:pPr>
            <w:r w:rsidRPr="009F1099">
              <w:rPr>
                <w:rFonts w:ascii="Times New Roman" w:hAnsi="Times New Roman"/>
                <w:sz w:val="18"/>
                <w:lang w:val="bs-Latn-BA"/>
              </w:rPr>
              <w:t>5 osoba iz oblasti IT (4 WordPress development, 1 Linux administrator)</w:t>
            </w:r>
          </w:p>
          <w:p w14:paraId="5926B9B8" w14:textId="77777777" w:rsidR="00D676A6" w:rsidRPr="009F1099" w:rsidRDefault="00D676A6" w:rsidP="00DE76C6">
            <w:pPr>
              <w:pStyle w:val="Default"/>
              <w:rPr>
                <w:rFonts w:ascii="Times New Roman" w:hAnsi="Times New Roman"/>
                <w:sz w:val="18"/>
                <w:lang w:val="bs-Latn-B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88F7" w14:textId="3177A64C" w:rsidR="00D676A6" w:rsidRDefault="00E41F6D" w:rsidP="00D676A6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lastRenderedPageBreak/>
              <w:t xml:space="preserve">Opština </w:t>
            </w:r>
            <w:r w:rsidR="00D676A6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Nikšić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,</w:t>
            </w:r>
          </w:p>
          <w:p w14:paraId="3DAFB2C4" w14:textId="77777777" w:rsidR="00D676A6" w:rsidRPr="009F1099" w:rsidRDefault="00D676A6" w:rsidP="00D676A6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 w:rsidRPr="009F1099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Donator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EAC3" w14:textId="13E5546F" w:rsidR="00D676A6" w:rsidRPr="009F1099" w:rsidRDefault="00D676A6" w:rsidP="00FF6895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D676A6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Realizovano I–IV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2600159" w14:textId="4B3806CD" w:rsidR="00D676A6" w:rsidRPr="009F1099" w:rsidRDefault="00D676A6" w:rsidP="00D676A6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D676A6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 xml:space="preserve">Za realizaciju licenciranih obuka za 30 nezaposlenih ukupno je utrošeno 8.960,00 </w:t>
            </w:r>
            <w:r w:rsidR="00F01D52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€</w:t>
            </w:r>
          </w:p>
        </w:tc>
      </w:tr>
      <w:tr w:rsidR="00D676A6" w:rsidRPr="009F1099" w14:paraId="157137AA" w14:textId="77777777" w:rsidTr="00452FB6">
        <w:trPr>
          <w:trHeight w:val="1425"/>
        </w:trPr>
        <w:tc>
          <w:tcPr>
            <w:tcW w:w="229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A337E82" w14:textId="0E49203C" w:rsidR="00D676A6" w:rsidRPr="009F1099" w:rsidRDefault="00D676A6" w:rsidP="003C1D50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1.3. Osposobljavanje kod poslodavca i osposobljavanje za samostalan rad (ZZZCG)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90C28" w14:textId="04AA045F" w:rsidR="00D676A6" w:rsidRPr="009F1099" w:rsidRDefault="00D676A6" w:rsidP="00402D5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Nezaposlena lica sa evidencije ZZZCG –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PJ</w:t>
            </w: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Nikšić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F17F8" w14:textId="77777777" w:rsidR="00D676A6" w:rsidRPr="009F1099" w:rsidRDefault="00D676A6" w:rsidP="009F1099">
            <w:pPr>
              <w:rPr>
                <w:rFonts w:ascii="Times New Roman" w:hAnsi="Times New Roman"/>
                <w:sz w:val="18"/>
                <w:lang w:val="bs-Latn-BA"/>
              </w:rPr>
            </w:pPr>
            <w:r w:rsidRPr="009F1099">
              <w:rPr>
                <w:rFonts w:ascii="Times New Roman" w:hAnsi="Times New Roman"/>
                <w:sz w:val="18"/>
                <w:lang w:val="bs-Latn-BA"/>
              </w:rPr>
              <w:t>Najmanje 10 lica uspješno osposobljeno za rad kod poslodavca</w:t>
            </w:r>
          </w:p>
          <w:p w14:paraId="68A42695" w14:textId="15775EC9" w:rsidR="00D676A6" w:rsidRPr="009F1099" w:rsidRDefault="00D676A6" w:rsidP="009F1099">
            <w:pPr>
              <w:spacing w:after="0" w:line="240" w:lineRule="auto"/>
              <w:rPr>
                <w:rFonts w:ascii="Times New Roman" w:eastAsia="Calibri" w:hAnsi="Times New Roman"/>
                <w:b/>
                <w:noProof/>
                <w:sz w:val="18"/>
                <w:lang w:val="sr-Latn-ME"/>
              </w:rPr>
            </w:pPr>
            <w:r w:rsidRPr="009F1099">
              <w:rPr>
                <w:rFonts w:ascii="Times New Roman" w:hAnsi="Times New Roman"/>
                <w:sz w:val="18"/>
                <w:lang w:val="bs-Latn-BA"/>
              </w:rPr>
              <w:t>Najmanje 10 lica osposobljeno za samostalan rad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909FA" w14:textId="0E74C5C1" w:rsidR="00D676A6" w:rsidRPr="009F1099" w:rsidRDefault="00D676A6" w:rsidP="00402D5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ZZZCG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– PJ</w:t>
            </w: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Nikšić</w:t>
            </w:r>
          </w:p>
        </w:tc>
        <w:tc>
          <w:tcPr>
            <w:tcW w:w="2783" w:type="dxa"/>
          </w:tcPr>
          <w:p w14:paraId="1471E1C4" w14:textId="75481E7E" w:rsidR="00D676A6" w:rsidRPr="009F1099" w:rsidRDefault="00D676A6" w:rsidP="003C1D50">
            <w:pPr>
              <w:spacing w:line="240" w:lineRule="auto"/>
              <w:rPr>
                <w:rFonts w:ascii="Times New Roman" w:hAnsi="Times New Roman"/>
                <w:sz w:val="18"/>
                <w:lang w:val="bs-Latn-BA"/>
              </w:rPr>
            </w:pPr>
            <w:r w:rsidRPr="009F1099">
              <w:rPr>
                <w:rFonts w:ascii="Times New Roman" w:hAnsi="Times New Roman"/>
                <w:sz w:val="18"/>
                <w:lang w:val="bs-Latn-BA"/>
              </w:rPr>
              <w:t>Preko ZZZCG</w:t>
            </w:r>
            <w:r>
              <w:rPr>
                <w:rFonts w:ascii="Times New Roman" w:hAnsi="Times New Roman"/>
                <w:sz w:val="18"/>
                <w:lang w:val="bs-Latn-BA"/>
              </w:rPr>
              <w:t xml:space="preserve"> –</w:t>
            </w:r>
            <w:r w:rsidRPr="009F1099">
              <w:rPr>
                <w:rFonts w:ascii="Times New Roman" w:hAnsi="Times New Roman"/>
                <w:sz w:val="18"/>
                <w:lang w:val="bs-Latn-BA"/>
              </w:rPr>
              <w:t xml:space="preserve"> </w:t>
            </w:r>
            <w:r>
              <w:rPr>
                <w:rFonts w:ascii="Times New Roman" w:hAnsi="Times New Roman"/>
                <w:sz w:val="18"/>
                <w:lang w:val="bs-Latn-BA"/>
              </w:rPr>
              <w:t>PJ</w:t>
            </w:r>
            <w:r w:rsidRPr="009F1099">
              <w:rPr>
                <w:rFonts w:ascii="Times New Roman" w:hAnsi="Times New Roman"/>
                <w:sz w:val="18"/>
                <w:lang w:val="bs-Latn-BA"/>
              </w:rPr>
              <w:t xml:space="preserve"> Nikšić:</w:t>
            </w:r>
          </w:p>
          <w:p w14:paraId="6FEEEAF3" w14:textId="77777777" w:rsidR="00D676A6" w:rsidRPr="009F1099" w:rsidRDefault="00D676A6" w:rsidP="003C1D50">
            <w:pPr>
              <w:spacing w:line="240" w:lineRule="auto"/>
              <w:rPr>
                <w:rFonts w:ascii="Times New Roman" w:hAnsi="Times New Roman"/>
                <w:sz w:val="18"/>
                <w:lang w:val="bs-Latn-BA"/>
              </w:rPr>
            </w:pPr>
            <w:r w:rsidRPr="009F1099">
              <w:rPr>
                <w:rFonts w:ascii="Times New Roman" w:hAnsi="Times New Roman"/>
                <w:sz w:val="18"/>
                <w:lang w:val="bs-Latn-BA"/>
              </w:rPr>
              <w:t>5 lica je prošlo obuku kod poslodavca</w:t>
            </w:r>
          </w:p>
          <w:p w14:paraId="3BB868CF" w14:textId="77777777" w:rsidR="00D676A6" w:rsidRPr="009F1099" w:rsidRDefault="00D676A6" w:rsidP="00537999">
            <w:pPr>
              <w:spacing w:after="0" w:line="240" w:lineRule="auto"/>
              <w:rPr>
                <w:rFonts w:ascii="Times New Roman" w:hAnsi="Times New Roman"/>
                <w:sz w:val="18"/>
                <w:lang w:val="bs-Latn-BA"/>
              </w:rPr>
            </w:pPr>
            <w:r w:rsidRPr="009F1099">
              <w:rPr>
                <w:rFonts w:ascii="Times New Roman" w:hAnsi="Times New Roman"/>
                <w:sz w:val="18"/>
                <w:lang w:val="bs-Latn-BA"/>
              </w:rPr>
              <w:t>Osposobljavanje za samostalan rad</w:t>
            </w:r>
          </w:p>
          <w:p w14:paraId="64B0B294" w14:textId="790CD73D" w:rsidR="00D676A6" w:rsidRPr="009F1099" w:rsidRDefault="00D676A6" w:rsidP="003C1D50">
            <w:pPr>
              <w:spacing w:line="240" w:lineRule="auto"/>
              <w:rPr>
                <w:rFonts w:ascii="Times New Roman" w:hAnsi="Times New Roman"/>
                <w:b/>
                <w:sz w:val="18"/>
                <w:lang w:val="hr-HR"/>
              </w:rPr>
            </w:pPr>
            <w:r w:rsidRPr="009F1099">
              <w:rPr>
                <w:rFonts w:ascii="Times New Roman" w:hAnsi="Times New Roman"/>
                <w:sz w:val="18"/>
                <w:lang w:val="bs-Latn-BA"/>
              </w:rPr>
              <w:t>(broj uključenih lica: 10)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9245" w14:textId="77777777" w:rsidR="00D676A6" w:rsidRPr="009F1099" w:rsidRDefault="00D676A6" w:rsidP="00C54F8A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ZZZCG</w:t>
            </w:r>
          </w:p>
          <w:p w14:paraId="6948F6A3" w14:textId="77777777" w:rsidR="00D676A6" w:rsidRPr="009F1099" w:rsidRDefault="00D676A6" w:rsidP="003C1D5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  <w:p w14:paraId="167488F0" w14:textId="77777777" w:rsidR="00D676A6" w:rsidRPr="009F1099" w:rsidRDefault="00D676A6" w:rsidP="003C1D5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  <w:p w14:paraId="55A6848F" w14:textId="77777777" w:rsidR="00D676A6" w:rsidRPr="009F1099" w:rsidRDefault="00D676A6" w:rsidP="003C1D5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  <w:p w14:paraId="3B8DC133" w14:textId="77777777" w:rsidR="00D676A6" w:rsidRPr="009F1099" w:rsidRDefault="00D676A6" w:rsidP="003C1D5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  <w:p w14:paraId="61726034" w14:textId="77777777" w:rsidR="00D676A6" w:rsidRPr="009F1099" w:rsidRDefault="00D676A6" w:rsidP="003C1D5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  <w:p w14:paraId="69BFD438" w14:textId="10D43659" w:rsidR="00D676A6" w:rsidRPr="009F1099" w:rsidRDefault="00D676A6" w:rsidP="00C54F8A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5D3A" w14:textId="5B69F97F" w:rsidR="00D676A6" w:rsidRPr="00FF6895" w:rsidRDefault="00D676A6" w:rsidP="00FF6895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Realizovano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I–IV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0E1D232" w14:textId="5407342F" w:rsidR="00D676A6" w:rsidRPr="009F1099" w:rsidRDefault="00D676A6" w:rsidP="003C1D5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  <w:p w14:paraId="06E4D66B" w14:textId="77777777" w:rsidR="00D676A6" w:rsidRDefault="00D676A6" w:rsidP="00756E9F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</w:p>
          <w:p w14:paraId="3E085AE9" w14:textId="77777777" w:rsidR="00D676A6" w:rsidRDefault="00D676A6" w:rsidP="00756E9F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</w:p>
          <w:p w14:paraId="1613F5EC" w14:textId="77777777" w:rsidR="00D676A6" w:rsidRDefault="00D676A6" w:rsidP="00756E9F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</w:p>
          <w:p w14:paraId="7C32C10D" w14:textId="77777777" w:rsidR="00D676A6" w:rsidRDefault="00D676A6" w:rsidP="00756E9F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</w:p>
          <w:p w14:paraId="21F7F366" w14:textId="77777777" w:rsidR="00D676A6" w:rsidRDefault="00D676A6" w:rsidP="00756E9F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</w:p>
          <w:p w14:paraId="44268961" w14:textId="0C1C9D8F" w:rsidR="00D676A6" w:rsidRPr="00DE1521" w:rsidRDefault="00D676A6" w:rsidP="00756E9F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</w:p>
        </w:tc>
      </w:tr>
      <w:tr w:rsidR="00D676A6" w:rsidRPr="009F1099" w14:paraId="3CF92ACA" w14:textId="77777777" w:rsidTr="0011535E">
        <w:trPr>
          <w:trHeight w:val="2865"/>
        </w:trPr>
        <w:tc>
          <w:tcPr>
            <w:tcW w:w="229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288ADDA" w14:textId="77777777" w:rsidR="00D676A6" w:rsidRPr="009F1099" w:rsidRDefault="00D676A6" w:rsidP="003C1D50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23653" w14:textId="77777777" w:rsidR="00D676A6" w:rsidRPr="009F1099" w:rsidRDefault="00D676A6" w:rsidP="00402D59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AD57C" w14:textId="77777777" w:rsidR="00D676A6" w:rsidRPr="009F1099" w:rsidRDefault="00D676A6" w:rsidP="009F1099">
            <w:pPr>
              <w:rPr>
                <w:rFonts w:ascii="Times New Roman" w:hAnsi="Times New Roman"/>
                <w:sz w:val="18"/>
                <w:lang w:val="bs-Latn-BA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CCCE4" w14:textId="667BF03C" w:rsidR="00D676A6" w:rsidRPr="009F1099" w:rsidRDefault="00F01D52" w:rsidP="00402D59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Opština Nikšić</w:t>
            </w:r>
          </w:p>
        </w:tc>
        <w:tc>
          <w:tcPr>
            <w:tcW w:w="2783" w:type="dxa"/>
          </w:tcPr>
          <w:p w14:paraId="72E5712C" w14:textId="77777777" w:rsidR="00D676A6" w:rsidRPr="009F1099" w:rsidRDefault="00D676A6" w:rsidP="00D676A6">
            <w:pPr>
              <w:spacing w:after="0" w:line="240" w:lineRule="auto"/>
              <w:rPr>
                <w:rFonts w:ascii="Times New Roman" w:hAnsi="Times New Roman"/>
                <w:sz w:val="18"/>
                <w:lang w:val="bs-Latn-BA"/>
              </w:rPr>
            </w:pPr>
            <w:r w:rsidRPr="009F1099">
              <w:rPr>
                <w:rFonts w:ascii="Times New Roman" w:hAnsi="Times New Roman"/>
                <w:sz w:val="18"/>
                <w:lang w:val="bs-Latn-BA"/>
              </w:rPr>
              <w:t>U okviru projekta „Program izvrsnosti zapošljavanja“:</w:t>
            </w:r>
          </w:p>
          <w:p w14:paraId="67339A9F" w14:textId="77777777" w:rsidR="00D676A6" w:rsidRPr="009F1099" w:rsidRDefault="00D676A6" w:rsidP="00D676A6">
            <w:pPr>
              <w:spacing w:line="240" w:lineRule="auto"/>
              <w:rPr>
                <w:rFonts w:ascii="Times New Roman" w:hAnsi="Times New Roman"/>
                <w:sz w:val="18"/>
                <w:lang w:val="bs-Latn-BA"/>
              </w:rPr>
            </w:pPr>
            <w:r w:rsidRPr="009F1099">
              <w:rPr>
                <w:rFonts w:ascii="Times New Roman" w:hAnsi="Times New Roman"/>
                <w:sz w:val="18"/>
                <w:lang w:val="bs-Latn-BA"/>
              </w:rPr>
              <w:t>7 osoba:</w:t>
            </w:r>
          </w:p>
          <w:p w14:paraId="41BFA67F" w14:textId="77777777" w:rsidR="00D676A6" w:rsidRPr="009F1099" w:rsidRDefault="00D676A6" w:rsidP="00D676A6">
            <w:pPr>
              <w:spacing w:line="240" w:lineRule="auto"/>
              <w:rPr>
                <w:rFonts w:ascii="Times New Roman" w:hAnsi="Times New Roman"/>
                <w:sz w:val="18"/>
                <w:lang w:val="bs-Latn-BA"/>
              </w:rPr>
            </w:pPr>
            <w:r w:rsidRPr="009F1099">
              <w:rPr>
                <w:rFonts w:ascii="Times New Roman" w:hAnsi="Times New Roman"/>
                <w:sz w:val="18"/>
                <w:lang w:val="bs-Latn-BA"/>
              </w:rPr>
              <w:t>•</w:t>
            </w:r>
            <w:r>
              <w:rPr>
                <w:rFonts w:ascii="Times New Roman" w:hAnsi="Times New Roman"/>
                <w:sz w:val="18"/>
                <w:lang w:val="bs-Latn-BA"/>
              </w:rPr>
              <w:t xml:space="preserve"> </w:t>
            </w:r>
            <w:r w:rsidRPr="009F1099">
              <w:rPr>
                <w:rFonts w:ascii="Times New Roman" w:hAnsi="Times New Roman"/>
                <w:sz w:val="18"/>
                <w:lang w:val="bs-Latn-BA"/>
              </w:rPr>
              <w:t xml:space="preserve">NVO Biznis centar </w:t>
            </w:r>
            <w:r>
              <w:rPr>
                <w:rFonts w:ascii="Times New Roman" w:hAnsi="Times New Roman"/>
                <w:sz w:val="18"/>
                <w:lang w:val="bs-Latn-BA"/>
              </w:rPr>
              <w:t>–</w:t>
            </w:r>
            <w:r w:rsidRPr="009F1099">
              <w:rPr>
                <w:rFonts w:ascii="Times New Roman" w:hAnsi="Times New Roman"/>
                <w:sz w:val="18"/>
                <w:lang w:val="bs-Latn-BA"/>
              </w:rPr>
              <w:t xml:space="preserve"> 3 osobe za administrativne poslove</w:t>
            </w:r>
          </w:p>
          <w:p w14:paraId="70631CB7" w14:textId="77777777" w:rsidR="00D676A6" w:rsidRPr="009F1099" w:rsidRDefault="00D676A6" w:rsidP="00D676A6">
            <w:pPr>
              <w:spacing w:line="240" w:lineRule="auto"/>
              <w:rPr>
                <w:rFonts w:ascii="Times New Roman" w:hAnsi="Times New Roman"/>
                <w:sz w:val="18"/>
                <w:lang w:val="bs-Latn-BA"/>
              </w:rPr>
            </w:pPr>
            <w:r w:rsidRPr="009F1099">
              <w:rPr>
                <w:rFonts w:ascii="Times New Roman" w:hAnsi="Times New Roman"/>
                <w:sz w:val="18"/>
                <w:lang w:val="bs-Latn-BA"/>
              </w:rPr>
              <w:t>•</w:t>
            </w:r>
            <w:r>
              <w:rPr>
                <w:rFonts w:ascii="Times New Roman" w:hAnsi="Times New Roman"/>
                <w:sz w:val="18"/>
                <w:lang w:val="bs-Latn-BA"/>
              </w:rPr>
              <w:t xml:space="preserve"> </w:t>
            </w:r>
            <w:r w:rsidRPr="009F1099">
              <w:rPr>
                <w:rFonts w:ascii="Times New Roman" w:hAnsi="Times New Roman"/>
                <w:sz w:val="18"/>
                <w:lang w:val="bs-Latn-BA"/>
              </w:rPr>
              <w:t>RTVNK – 2 osobe (novinar saradnik i moderator sajta)</w:t>
            </w:r>
          </w:p>
          <w:p w14:paraId="6B9D0E4F" w14:textId="0696D028" w:rsidR="00D676A6" w:rsidRPr="009F1099" w:rsidRDefault="00D676A6" w:rsidP="00D676A6">
            <w:pPr>
              <w:spacing w:line="240" w:lineRule="auto"/>
              <w:rPr>
                <w:rFonts w:ascii="Times New Roman" w:hAnsi="Times New Roman"/>
                <w:sz w:val="18"/>
                <w:lang w:val="bs-Latn-BA"/>
              </w:rPr>
            </w:pPr>
            <w:r w:rsidRPr="009F1099">
              <w:rPr>
                <w:rFonts w:ascii="Times New Roman" w:hAnsi="Times New Roman"/>
                <w:sz w:val="18"/>
                <w:lang w:val="bs-Latn-BA"/>
              </w:rPr>
              <w:t>•</w:t>
            </w:r>
            <w:r>
              <w:rPr>
                <w:rFonts w:ascii="Times New Roman" w:hAnsi="Times New Roman"/>
                <w:sz w:val="18"/>
                <w:lang w:val="bs-Latn-BA"/>
              </w:rPr>
              <w:t xml:space="preserve"> </w:t>
            </w:r>
            <w:r w:rsidRPr="009F1099">
              <w:rPr>
                <w:rFonts w:ascii="Times New Roman" w:hAnsi="Times New Roman"/>
                <w:sz w:val="18"/>
                <w:lang w:val="bs-Latn-BA"/>
              </w:rPr>
              <w:t>JU Dnevni centar za djecu sa smetnjama u razvoju i osobe sa invaliditetom – 2 osobe za rad u radno-okupacionoj radionici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A747" w14:textId="4C38A58D" w:rsidR="00D676A6" w:rsidRDefault="00F01D52" w:rsidP="00D676A6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 w:rsidRPr="009F1099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Donator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 xml:space="preserve">, </w:t>
            </w:r>
            <w:r w:rsidR="00D676A6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Opština Nikšić</w:t>
            </w:r>
          </w:p>
          <w:p w14:paraId="033AD17B" w14:textId="0C2EDBF9" w:rsidR="00D676A6" w:rsidRPr="009F1099" w:rsidRDefault="00D676A6" w:rsidP="00D676A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1B01" w14:textId="661136DE" w:rsidR="00D676A6" w:rsidRPr="009F1099" w:rsidRDefault="00D676A6" w:rsidP="00FF6895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D676A6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Realizovano I–IV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AF9522" w14:textId="37E60232" w:rsidR="00D676A6" w:rsidRPr="009F1099" w:rsidRDefault="00D676A6" w:rsidP="00D676A6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DE1521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 xml:space="preserve">Za zapošljavanje 7 osoba, na period od 4 mjeseca, utrošeno je ukupno 15.960,00 </w:t>
            </w:r>
            <w:r w:rsidR="00F01D52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€</w:t>
            </w:r>
          </w:p>
        </w:tc>
      </w:tr>
      <w:tr w:rsidR="00D676A6" w:rsidRPr="009F1099" w14:paraId="45B96520" w14:textId="77777777" w:rsidTr="00452FB6">
        <w:trPr>
          <w:trHeight w:val="2385"/>
        </w:trPr>
        <w:tc>
          <w:tcPr>
            <w:tcW w:w="229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138BC" w14:textId="77777777" w:rsidR="00D676A6" w:rsidRPr="009F1099" w:rsidRDefault="00D676A6" w:rsidP="003C1D50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6135" w14:textId="77777777" w:rsidR="00D676A6" w:rsidRPr="009F1099" w:rsidRDefault="00D676A6" w:rsidP="00402D59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1116" w14:textId="77777777" w:rsidR="00D676A6" w:rsidRPr="009F1099" w:rsidRDefault="00D676A6" w:rsidP="009F1099">
            <w:pPr>
              <w:rPr>
                <w:rFonts w:ascii="Times New Roman" w:hAnsi="Times New Roman"/>
                <w:sz w:val="18"/>
                <w:lang w:val="bs-Latn-BA"/>
              </w:rPr>
            </w:pPr>
          </w:p>
        </w:tc>
        <w:tc>
          <w:tcPr>
            <w:tcW w:w="1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42DF" w14:textId="6034657B" w:rsidR="00D676A6" w:rsidRPr="009F1099" w:rsidRDefault="00F01D52" w:rsidP="00402D59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NVO Biznis centar</w:t>
            </w:r>
          </w:p>
        </w:tc>
        <w:tc>
          <w:tcPr>
            <w:tcW w:w="2783" w:type="dxa"/>
          </w:tcPr>
          <w:p w14:paraId="66F2AAFE" w14:textId="77777777" w:rsidR="00D676A6" w:rsidRDefault="00D676A6" w:rsidP="00D676A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NVO Biznis centar je organizovala obuke na radnom mjestu kroz Aktivnost „Opportunity for you 2“ projekta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„</w:t>
            </w: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ReWork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“,</w:t>
            </w: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koji je imao za cilj da nezaposlenima pruži mogućnost stručnog osposobljavanja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i to iz oblasti zanatstva, IT, grafičkog dizajna i tzv.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mekih vještina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–</w:t>
            </w: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12 lica iz ugroženih kategorija stan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</w:t>
            </w: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vništva</w:t>
            </w:r>
          </w:p>
          <w:p w14:paraId="31DE4299" w14:textId="77777777" w:rsidR="00D676A6" w:rsidRPr="009F1099" w:rsidRDefault="00D676A6" w:rsidP="003C1D50">
            <w:pPr>
              <w:pStyle w:val="Default"/>
              <w:rPr>
                <w:rFonts w:ascii="Times New Roman" w:hAnsi="Times New Roman"/>
                <w:sz w:val="18"/>
                <w:lang w:val="bs-Latn-B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DBC67" w14:textId="7C41725B" w:rsidR="00D676A6" w:rsidRPr="00D676A6" w:rsidRDefault="00D676A6" w:rsidP="00D676A6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 w:rsidRPr="00D676A6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NVO Biznis centar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,</w:t>
            </w:r>
            <w:r w:rsidRPr="00D676A6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 xml:space="preserve"> Donator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8692" w14:textId="0423A9BE" w:rsidR="00D676A6" w:rsidRPr="009F1099" w:rsidRDefault="00D676A6" w:rsidP="00FF6895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D676A6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Realizovano I–IV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B347000" w14:textId="77777777" w:rsidR="00D676A6" w:rsidRDefault="00D676A6" w:rsidP="00D676A6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</w:p>
        </w:tc>
      </w:tr>
      <w:tr w:rsidR="00D676A6" w:rsidRPr="009F1099" w14:paraId="773E95E7" w14:textId="77777777" w:rsidTr="00571648">
        <w:trPr>
          <w:trHeight w:val="1815"/>
        </w:trPr>
        <w:tc>
          <w:tcPr>
            <w:tcW w:w="2298" w:type="dxa"/>
            <w:vMerge w:val="restart"/>
            <w:tcBorders>
              <w:left w:val="double" w:sz="4" w:space="0" w:color="auto"/>
            </w:tcBorders>
          </w:tcPr>
          <w:p w14:paraId="01847127" w14:textId="3F427522" w:rsidR="00D676A6" w:rsidRPr="009F1099" w:rsidRDefault="00D676A6" w:rsidP="00C0043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lastRenderedPageBreak/>
              <w:t>1.4. Promovisanje i realizacija programa cjeloživotnog učenja (obrazovne institucije, licencirani pružaoci, NVO, organizatori obrazovanja)</w:t>
            </w:r>
          </w:p>
        </w:tc>
        <w:tc>
          <w:tcPr>
            <w:tcW w:w="1695" w:type="dxa"/>
            <w:vMerge w:val="restart"/>
          </w:tcPr>
          <w:p w14:paraId="50F5999E" w14:textId="73945C56" w:rsidR="00D676A6" w:rsidRPr="009F1099" w:rsidRDefault="00D676A6" w:rsidP="00C0043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Sva zainteresovana lica, nezaposlena i zaposlena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98535" w14:textId="77777777" w:rsidR="00D676A6" w:rsidRPr="009F1099" w:rsidRDefault="00D676A6" w:rsidP="00C00436">
            <w:pPr>
              <w:rPr>
                <w:rFonts w:ascii="Times New Roman" w:hAnsi="Times New Roman"/>
                <w:sz w:val="18"/>
                <w:lang w:val="bs-Latn-BA"/>
              </w:rPr>
            </w:pPr>
            <w:r w:rsidRPr="009F1099">
              <w:rPr>
                <w:rFonts w:ascii="Times New Roman" w:hAnsi="Times New Roman"/>
                <w:sz w:val="18"/>
                <w:lang w:val="bs-Latn-BA"/>
              </w:rPr>
              <w:t>Najmanje 1.200 lica sa teritorije opštine informisano o programima cjeloživotnog učenja</w:t>
            </w:r>
          </w:p>
          <w:p w14:paraId="791321EE" w14:textId="3D683AAA" w:rsidR="00D676A6" w:rsidRPr="009F1099" w:rsidRDefault="00D676A6" w:rsidP="00C00436">
            <w:pPr>
              <w:spacing w:after="0" w:line="240" w:lineRule="auto"/>
              <w:rPr>
                <w:rFonts w:ascii="Times New Roman" w:eastAsia="Calibri" w:hAnsi="Times New Roman"/>
                <w:noProof/>
                <w:sz w:val="18"/>
                <w:lang w:val="sr-Latn-ME"/>
              </w:rPr>
            </w:pPr>
            <w:r w:rsidRPr="009F1099">
              <w:rPr>
                <w:rFonts w:ascii="Times New Roman" w:hAnsi="Times New Roman"/>
                <w:sz w:val="18"/>
                <w:lang w:val="bs-Latn-BA"/>
              </w:rPr>
              <w:t>Najmanje 50 učestvovalo u programima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7A34F" w14:textId="77777777" w:rsidR="00D676A6" w:rsidRPr="009F1099" w:rsidRDefault="00D676A6" w:rsidP="00C00436">
            <w:pPr>
              <w:rPr>
                <w:rFonts w:ascii="Times New Roman" w:hAnsi="Times New Roman"/>
                <w:sz w:val="18"/>
                <w:lang w:val="bs-Latn-BA"/>
              </w:rPr>
            </w:pPr>
            <w:r w:rsidRPr="009F1099">
              <w:rPr>
                <w:rFonts w:ascii="Times New Roman" w:hAnsi="Times New Roman"/>
                <w:sz w:val="18"/>
                <w:lang w:val="bs-Latn-BA"/>
              </w:rPr>
              <w:t>Pružaoci usluga cjeloživotnog obrazovanja</w:t>
            </w:r>
          </w:p>
          <w:p w14:paraId="67087D99" w14:textId="77777777" w:rsidR="00D676A6" w:rsidRDefault="00D676A6" w:rsidP="00C0043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Lokalni javni emiter „Radio i televizija Nikšić“ </w:t>
            </w:r>
          </w:p>
          <w:p w14:paraId="6E09A377" w14:textId="0F05A7F1" w:rsidR="00D676A6" w:rsidRPr="009F1099" w:rsidRDefault="00D676A6" w:rsidP="00C0043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d. o. o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FDC0" w14:textId="558123AC" w:rsidR="00D676A6" w:rsidRPr="009F1099" w:rsidRDefault="00D676A6" w:rsidP="00C00436">
            <w:pPr>
              <w:rPr>
                <w:rFonts w:ascii="Times New Roman" w:hAnsi="Times New Roman"/>
                <w:sz w:val="18"/>
                <w:lang w:val="hr-HR"/>
              </w:rPr>
            </w:pPr>
            <w:r w:rsidRPr="009F1099">
              <w:rPr>
                <w:rFonts w:ascii="Times New Roman" w:hAnsi="Times New Roman"/>
                <w:sz w:val="18"/>
                <w:lang w:val="bs-Latn-BA"/>
              </w:rPr>
              <w:t>U okviru projekta „Epic-privredna inicijativa za cjeloživotno obrazovanje“</w:t>
            </w:r>
            <w:r>
              <w:rPr>
                <w:rFonts w:ascii="Times New Roman" w:hAnsi="Times New Roman"/>
                <w:sz w:val="18"/>
                <w:lang w:val="bs-Latn-BA"/>
              </w:rPr>
              <w:t>,</w:t>
            </w:r>
            <w:r w:rsidRPr="009F1099">
              <w:rPr>
                <w:rFonts w:ascii="Times New Roman" w:hAnsi="Times New Roman"/>
                <w:sz w:val="18"/>
                <w:lang w:val="bs-Latn-BA"/>
              </w:rPr>
              <w:t xml:space="preserve"> koji je podržan od strane Fonda za inovacije, a realizovao Edukativno</w:t>
            </w:r>
            <w:r>
              <w:rPr>
                <w:rFonts w:ascii="Times New Roman" w:hAnsi="Times New Roman"/>
                <w:sz w:val="18"/>
                <w:lang w:val="bs-Latn-BA"/>
              </w:rPr>
              <w:t>-</w:t>
            </w:r>
            <w:r w:rsidRPr="009F1099">
              <w:rPr>
                <w:rFonts w:ascii="Times New Roman" w:hAnsi="Times New Roman"/>
                <w:sz w:val="18"/>
                <w:lang w:val="bs-Latn-BA"/>
              </w:rPr>
              <w:t xml:space="preserve">konsultantski centar </w:t>
            </w:r>
            <w:r>
              <w:rPr>
                <w:rFonts w:ascii="Times New Roman" w:hAnsi="Times New Roman"/>
                <w:sz w:val="18"/>
                <w:lang w:val="bs-Latn-BA"/>
              </w:rPr>
              <w:t>„</w:t>
            </w:r>
            <w:r w:rsidRPr="009F1099">
              <w:rPr>
                <w:rFonts w:ascii="Times New Roman" w:hAnsi="Times New Roman"/>
                <w:sz w:val="18"/>
                <w:lang w:val="bs-Latn-BA"/>
              </w:rPr>
              <w:t>Per aspera ad astra</w:t>
            </w:r>
            <w:r>
              <w:rPr>
                <w:rFonts w:ascii="Times New Roman" w:hAnsi="Times New Roman"/>
                <w:sz w:val="18"/>
                <w:lang w:val="bs-Latn-BA"/>
              </w:rPr>
              <w:t>“</w:t>
            </w:r>
            <w:r w:rsidRPr="009F1099">
              <w:rPr>
                <w:rFonts w:ascii="Times New Roman" w:hAnsi="Times New Roman"/>
                <w:sz w:val="18"/>
                <w:lang w:val="bs-Latn-BA"/>
              </w:rPr>
              <w:t xml:space="preserve">, 300 lica je učestvovalo u programima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ED102" w14:textId="6343C618" w:rsidR="00D676A6" w:rsidRDefault="00D676A6" w:rsidP="00C0043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Donator</w:t>
            </w:r>
          </w:p>
          <w:p w14:paraId="78965CA8" w14:textId="77777777" w:rsidR="00D676A6" w:rsidRDefault="00D676A6" w:rsidP="00C0043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14:paraId="78207328" w14:textId="77777777" w:rsidR="00D676A6" w:rsidRDefault="00D676A6" w:rsidP="00C0043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14:paraId="55473913" w14:textId="77777777" w:rsidR="00D676A6" w:rsidRDefault="00D676A6" w:rsidP="00C0043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14:paraId="58DEAC70" w14:textId="77777777" w:rsidR="00D676A6" w:rsidRDefault="00D676A6" w:rsidP="00C0043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14:paraId="5EE6A2FE" w14:textId="77777777" w:rsidR="00D676A6" w:rsidRDefault="00D676A6" w:rsidP="00C0043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14:paraId="3400C6EE" w14:textId="77777777" w:rsidR="00D676A6" w:rsidRDefault="00D676A6" w:rsidP="00C0043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14:paraId="4E1A1CAA" w14:textId="77777777" w:rsidR="00D676A6" w:rsidRDefault="00D676A6" w:rsidP="00C0043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14:paraId="26A3696C" w14:textId="73CAF63B" w:rsidR="00D676A6" w:rsidRPr="009F1099" w:rsidRDefault="00D676A6" w:rsidP="00C0043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1054" w14:textId="7D756CA0" w:rsidR="00D676A6" w:rsidRPr="00FF6895" w:rsidRDefault="00D676A6" w:rsidP="00C0043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Realizovano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I–IV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2F85B60" w14:textId="5D8A6CB7" w:rsidR="00D676A6" w:rsidRPr="009F1099" w:rsidRDefault="00D676A6" w:rsidP="00C0043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14:paraId="29FA027F" w14:textId="5BCDCE05" w:rsidR="00D676A6" w:rsidRPr="009F1099" w:rsidRDefault="00D676A6" w:rsidP="00C0043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</w:tc>
      </w:tr>
      <w:tr w:rsidR="00D676A6" w:rsidRPr="009F1099" w14:paraId="4C121380" w14:textId="77777777" w:rsidTr="001B2DF8">
        <w:trPr>
          <w:trHeight w:val="1170"/>
        </w:trPr>
        <w:tc>
          <w:tcPr>
            <w:tcW w:w="2298" w:type="dxa"/>
            <w:vMerge/>
            <w:tcBorders>
              <w:left w:val="double" w:sz="4" w:space="0" w:color="auto"/>
            </w:tcBorders>
          </w:tcPr>
          <w:p w14:paraId="628B542D" w14:textId="77777777" w:rsidR="00D676A6" w:rsidRPr="009F1099" w:rsidRDefault="00D676A6" w:rsidP="00C0043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695" w:type="dxa"/>
            <w:vMerge/>
          </w:tcPr>
          <w:p w14:paraId="16291FF0" w14:textId="77777777" w:rsidR="00D676A6" w:rsidRPr="009F1099" w:rsidRDefault="00D676A6" w:rsidP="00C0043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AE8A5" w14:textId="77777777" w:rsidR="00D676A6" w:rsidRPr="009F1099" w:rsidRDefault="00D676A6" w:rsidP="00C00436">
            <w:pPr>
              <w:rPr>
                <w:rFonts w:ascii="Times New Roman" w:hAnsi="Times New Roman"/>
                <w:sz w:val="18"/>
                <w:lang w:val="bs-Latn-BA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BCD19" w14:textId="1DAF241F" w:rsidR="00D676A6" w:rsidRPr="009F1099" w:rsidRDefault="00F01D52" w:rsidP="00C00436">
            <w:pPr>
              <w:rPr>
                <w:rFonts w:ascii="Times New Roman" w:hAnsi="Times New Roman"/>
                <w:sz w:val="18"/>
                <w:lang w:val="bs-Latn-BA"/>
              </w:rPr>
            </w:pPr>
            <w:r>
              <w:rPr>
                <w:rFonts w:ascii="Times New Roman" w:hAnsi="Times New Roman"/>
                <w:sz w:val="18"/>
                <w:lang w:val="bs-Latn-BA"/>
              </w:rPr>
              <w:t>Opština Nikšić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7F2AE" w14:textId="4C8F7D67" w:rsidR="00D676A6" w:rsidRPr="009F1099" w:rsidRDefault="00D676A6" w:rsidP="00D676A6">
            <w:pPr>
              <w:rPr>
                <w:rFonts w:ascii="Times New Roman" w:hAnsi="Times New Roman"/>
                <w:sz w:val="18"/>
                <w:lang w:val="bs-Latn-BA"/>
              </w:rPr>
            </w:pPr>
            <w:r w:rsidRPr="009F1099">
              <w:rPr>
                <w:rFonts w:ascii="Times New Roman" w:hAnsi="Times New Roman"/>
                <w:sz w:val="18"/>
                <w:lang w:val="bs-Latn-BA"/>
              </w:rPr>
              <w:t>U okviru projekta „Pr</w:t>
            </w:r>
            <w:r>
              <w:rPr>
                <w:rFonts w:ascii="Times New Roman" w:hAnsi="Times New Roman"/>
                <w:sz w:val="18"/>
                <w:lang w:val="bs-Latn-BA"/>
              </w:rPr>
              <w:t>o</w:t>
            </w:r>
            <w:r w:rsidRPr="009F1099">
              <w:rPr>
                <w:rFonts w:ascii="Times New Roman" w:hAnsi="Times New Roman"/>
                <w:sz w:val="18"/>
                <w:lang w:val="bs-Latn-BA"/>
              </w:rPr>
              <w:t>gram izvrsno</w:t>
            </w:r>
            <w:r>
              <w:rPr>
                <w:rFonts w:ascii="Times New Roman" w:hAnsi="Times New Roman"/>
                <w:sz w:val="18"/>
                <w:lang w:val="bs-Latn-BA"/>
              </w:rPr>
              <w:t>s</w:t>
            </w:r>
            <w:r w:rsidRPr="009F1099">
              <w:rPr>
                <w:rFonts w:ascii="Times New Roman" w:hAnsi="Times New Roman"/>
                <w:sz w:val="18"/>
                <w:lang w:val="bs-Latn-BA"/>
              </w:rPr>
              <w:t>ti zapošljavanja“ organizovana je motivaciona radionica za</w:t>
            </w:r>
            <w:r>
              <w:rPr>
                <w:rFonts w:ascii="Times New Roman" w:hAnsi="Times New Roman"/>
                <w:sz w:val="18"/>
                <w:lang w:val="bs-Latn-BA"/>
              </w:rPr>
              <w:t xml:space="preserve"> </w:t>
            </w:r>
            <w:r w:rsidRPr="009F1099">
              <w:rPr>
                <w:rFonts w:ascii="Times New Roman" w:hAnsi="Times New Roman"/>
                <w:sz w:val="18"/>
                <w:lang w:val="bs-Latn-BA"/>
              </w:rPr>
              <w:t>nezapo</w:t>
            </w:r>
            <w:r>
              <w:rPr>
                <w:rFonts w:ascii="Times New Roman" w:hAnsi="Times New Roman"/>
                <w:sz w:val="18"/>
                <w:lang w:val="bs-Latn-BA"/>
              </w:rPr>
              <w:t>s</w:t>
            </w:r>
            <w:r w:rsidRPr="009F1099">
              <w:rPr>
                <w:rFonts w:ascii="Times New Roman" w:hAnsi="Times New Roman"/>
                <w:sz w:val="18"/>
                <w:lang w:val="bs-Latn-BA"/>
              </w:rPr>
              <w:t xml:space="preserve">lene kojoj </w:t>
            </w:r>
            <w:r>
              <w:rPr>
                <w:rFonts w:ascii="Times New Roman" w:hAnsi="Times New Roman"/>
                <w:sz w:val="18"/>
                <w:lang w:val="bs-Latn-BA"/>
              </w:rPr>
              <w:t>su</w:t>
            </w:r>
            <w:r w:rsidRPr="009F1099">
              <w:rPr>
                <w:rFonts w:ascii="Times New Roman" w:hAnsi="Times New Roman"/>
                <w:sz w:val="18"/>
                <w:lang w:val="bs-Latn-BA"/>
              </w:rPr>
              <w:t xml:space="preserve"> prisustvoval</w:t>
            </w:r>
            <w:r>
              <w:rPr>
                <w:rFonts w:ascii="Times New Roman" w:hAnsi="Times New Roman"/>
                <w:sz w:val="18"/>
                <w:lang w:val="bs-Latn-BA"/>
              </w:rPr>
              <w:t>a</w:t>
            </w:r>
            <w:r w:rsidRPr="009F1099">
              <w:rPr>
                <w:rFonts w:ascii="Times New Roman" w:hAnsi="Times New Roman"/>
                <w:sz w:val="18"/>
                <w:lang w:val="bs-Latn-BA"/>
              </w:rPr>
              <w:t xml:space="preserve"> 34 nezaposlen</w:t>
            </w:r>
            <w:r>
              <w:rPr>
                <w:rFonts w:ascii="Times New Roman" w:hAnsi="Times New Roman"/>
                <w:sz w:val="18"/>
                <w:lang w:val="bs-Latn-BA"/>
              </w:rPr>
              <w:t>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6F326" w14:textId="658F1B2F" w:rsidR="00D676A6" w:rsidRDefault="00F01D52" w:rsidP="00D676A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Donator, </w:t>
            </w:r>
            <w:r w:rsidR="00D676A6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Opština Nikšić</w:t>
            </w:r>
          </w:p>
          <w:p w14:paraId="2BA5B256" w14:textId="3616642A" w:rsidR="00D676A6" w:rsidRPr="009F1099" w:rsidRDefault="00D676A6" w:rsidP="00D676A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75EC4" w14:textId="4D6FD2BF" w:rsidR="00D676A6" w:rsidRPr="009F1099" w:rsidRDefault="00D676A6" w:rsidP="00C0043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D676A6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Realizovano I–IV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BBB50A8" w14:textId="72F548A6" w:rsidR="00D676A6" w:rsidRPr="009F1099" w:rsidRDefault="00D676A6" w:rsidP="00C0043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Za realizaciju trodnevne motivacione radionice ukupno je potrošeno 1.300,00 </w:t>
            </w:r>
            <w:r w:rsidR="00F01D52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€</w:t>
            </w:r>
          </w:p>
        </w:tc>
      </w:tr>
      <w:tr w:rsidR="00D676A6" w:rsidRPr="009F1099" w14:paraId="7BDD9A25" w14:textId="77777777" w:rsidTr="00571648">
        <w:trPr>
          <w:trHeight w:val="1260"/>
        </w:trPr>
        <w:tc>
          <w:tcPr>
            <w:tcW w:w="2298" w:type="dxa"/>
            <w:vMerge/>
            <w:tcBorders>
              <w:left w:val="double" w:sz="4" w:space="0" w:color="auto"/>
            </w:tcBorders>
          </w:tcPr>
          <w:p w14:paraId="3DADAB6E" w14:textId="77777777" w:rsidR="00D676A6" w:rsidRPr="009F1099" w:rsidRDefault="00D676A6" w:rsidP="00C0043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695" w:type="dxa"/>
            <w:vMerge/>
          </w:tcPr>
          <w:p w14:paraId="4A9679BF" w14:textId="77777777" w:rsidR="00D676A6" w:rsidRPr="009F1099" w:rsidRDefault="00D676A6" w:rsidP="00C0043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9659D" w14:textId="77777777" w:rsidR="00D676A6" w:rsidRPr="009F1099" w:rsidRDefault="00D676A6" w:rsidP="00C00436">
            <w:pPr>
              <w:rPr>
                <w:rFonts w:ascii="Times New Roman" w:hAnsi="Times New Roman"/>
                <w:sz w:val="18"/>
                <w:lang w:val="bs-Latn-BA"/>
              </w:rPr>
            </w:pPr>
          </w:p>
        </w:tc>
        <w:tc>
          <w:tcPr>
            <w:tcW w:w="1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E79E" w14:textId="032C5A0E" w:rsidR="00D676A6" w:rsidRPr="009F1099" w:rsidRDefault="00F01D52" w:rsidP="00C00436">
            <w:pPr>
              <w:rPr>
                <w:rFonts w:ascii="Times New Roman" w:hAnsi="Times New Roman"/>
                <w:sz w:val="18"/>
                <w:lang w:val="bs-Latn-BA"/>
              </w:rPr>
            </w:pPr>
            <w:r>
              <w:rPr>
                <w:rFonts w:ascii="Times New Roman" w:hAnsi="Times New Roman"/>
                <w:sz w:val="18"/>
                <w:lang w:val="bs-Latn-BA"/>
              </w:rPr>
              <w:t>Lokalni javni servis RTVNK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58FD" w14:textId="77777777" w:rsidR="00D676A6" w:rsidRPr="009F1099" w:rsidRDefault="00D676A6" w:rsidP="00D676A6">
            <w:pPr>
              <w:pStyle w:val="Default"/>
              <w:rPr>
                <w:rFonts w:ascii="Times New Roman" w:hAnsi="Times New Roman"/>
                <w:sz w:val="18"/>
                <w:lang w:val="bs-Latn-BA"/>
              </w:rPr>
            </w:pP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Sve aktivnosti je propratila Radio-televizija Nikšić kroz informativne i obraz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</w:t>
            </w: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vne emisije i gostovanja organizatora događaja, a isto je objavljivano i na portalu RTVNK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FAB69" w14:textId="4443568C" w:rsidR="00D676A6" w:rsidRDefault="00D676A6" w:rsidP="00D676A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N/A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FE29E" w14:textId="6D466A71" w:rsidR="00D676A6" w:rsidRPr="009F1099" w:rsidRDefault="00D676A6" w:rsidP="00C0043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D676A6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Realizovano I–IV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9458A75" w14:textId="77777777" w:rsidR="00D676A6" w:rsidRPr="009F1099" w:rsidRDefault="00D676A6" w:rsidP="00C0043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</w:tc>
      </w:tr>
      <w:tr w:rsidR="00D676A6" w:rsidRPr="009F1099" w14:paraId="0EBCD626" w14:textId="77777777" w:rsidTr="001B7DDD">
        <w:trPr>
          <w:trHeight w:val="1080"/>
        </w:trPr>
        <w:tc>
          <w:tcPr>
            <w:tcW w:w="229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64428A5" w14:textId="269CD5D9" w:rsidR="00D676A6" w:rsidRPr="009F1099" w:rsidRDefault="00D676A6" w:rsidP="009F109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1.5. Kreiranje, razvoj i promocija onlajn-alata za učenje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8407E" w14:textId="69C4ACA3" w:rsidR="00D676A6" w:rsidRPr="009F1099" w:rsidRDefault="00D676A6" w:rsidP="009F109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Sva zainteresovana lica, nezaposlena i zaposlena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F19F6" w14:textId="204D3507" w:rsidR="00D676A6" w:rsidRPr="009F1099" w:rsidRDefault="00D676A6" w:rsidP="009F1099">
            <w:pPr>
              <w:spacing w:after="0" w:line="240" w:lineRule="auto"/>
              <w:rPr>
                <w:rFonts w:ascii="Times New Roman" w:eastAsia="Calibri" w:hAnsi="Times New Roman"/>
                <w:b/>
                <w:noProof/>
                <w:sz w:val="18"/>
                <w:lang w:val="sr-Latn-ME"/>
              </w:rPr>
            </w:pPr>
            <w:r w:rsidRPr="009F1099">
              <w:rPr>
                <w:rFonts w:ascii="Times New Roman" w:hAnsi="Times New Roman"/>
                <w:sz w:val="18"/>
                <w:lang w:val="bs-Latn-BA"/>
              </w:rPr>
              <w:t>Najmanje 30 korisnika onlajn-alata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038F0" w14:textId="77777777" w:rsidR="00D676A6" w:rsidRPr="009F1099" w:rsidRDefault="00D676A6" w:rsidP="009F1099">
            <w:pPr>
              <w:rPr>
                <w:rFonts w:ascii="Times New Roman" w:hAnsi="Times New Roman"/>
                <w:sz w:val="18"/>
                <w:lang w:val="bs-Latn-BA"/>
              </w:rPr>
            </w:pPr>
            <w:r w:rsidRPr="009F1099">
              <w:rPr>
                <w:rFonts w:ascii="Times New Roman" w:hAnsi="Times New Roman"/>
                <w:sz w:val="18"/>
                <w:lang w:val="bs-Latn-BA"/>
              </w:rPr>
              <w:t xml:space="preserve">NVO </w:t>
            </w:r>
          </w:p>
          <w:p w14:paraId="5803B354" w14:textId="68254B6B" w:rsidR="00D676A6" w:rsidRPr="009F1099" w:rsidRDefault="00D676A6" w:rsidP="009F109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Zainteresovani akteri iz javnog i privatnog sektora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CA924" w14:textId="714F5D7E" w:rsidR="00D676A6" w:rsidRPr="009F1099" w:rsidRDefault="00D676A6" w:rsidP="009F1099">
            <w:pPr>
              <w:spacing w:after="0" w:line="240" w:lineRule="auto"/>
              <w:rPr>
                <w:rFonts w:ascii="Times New Roman" w:hAnsi="Times New Roman"/>
                <w:sz w:val="18"/>
                <w:lang w:val="bs-Latn-BA"/>
              </w:rPr>
            </w:pPr>
            <w:r>
              <w:rPr>
                <w:rFonts w:ascii="Times New Roman" w:hAnsi="Times New Roman"/>
                <w:sz w:val="18"/>
                <w:lang w:val="bs-Latn-BA"/>
              </w:rPr>
              <w:t xml:space="preserve">NVO </w:t>
            </w:r>
            <w:r w:rsidRPr="009F1099">
              <w:rPr>
                <w:rFonts w:ascii="Times New Roman" w:hAnsi="Times New Roman"/>
                <w:sz w:val="18"/>
                <w:lang w:val="bs-Latn-BA"/>
              </w:rPr>
              <w:t>Biznis cent</w:t>
            </w:r>
            <w:r>
              <w:rPr>
                <w:rFonts w:ascii="Times New Roman" w:hAnsi="Times New Roman"/>
                <w:sz w:val="18"/>
                <w:lang w:val="bs-Latn-BA"/>
              </w:rPr>
              <w:t>a</w:t>
            </w:r>
            <w:r w:rsidRPr="009F1099">
              <w:rPr>
                <w:rFonts w:ascii="Times New Roman" w:hAnsi="Times New Roman"/>
                <w:sz w:val="18"/>
                <w:lang w:val="bs-Latn-BA"/>
              </w:rPr>
              <w:t>r je kroz radionice za mlade predstavio dostupne alatke za onl</w:t>
            </w:r>
            <w:r>
              <w:rPr>
                <w:rFonts w:ascii="Times New Roman" w:hAnsi="Times New Roman"/>
                <w:sz w:val="18"/>
                <w:lang w:val="bs-Latn-BA"/>
              </w:rPr>
              <w:t>aj</w:t>
            </w:r>
            <w:r w:rsidRPr="009F1099">
              <w:rPr>
                <w:rFonts w:ascii="Times New Roman" w:hAnsi="Times New Roman"/>
                <w:sz w:val="18"/>
                <w:lang w:val="bs-Latn-BA"/>
              </w:rPr>
              <w:t>n</w:t>
            </w:r>
            <w:r>
              <w:rPr>
                <w:rFonts w:ascii="Times New Roman" w:hAnsi="Times New Roman"/>
                <w:sz w:val="18"/>
                <w:lang w:val="bs-Latn-BA"/>
              </w:rPr>
              <w:t>-</w:t>
            </w:r>
            <w:r w:rsidRPr="009F1099">
              <w:rPr>
                <w:rFonts w:ascii="Times New Roman" w:hAnsi="Times New Roman"/>
                <w:sz w:val="18"/>
                <w:lang w:val="bs-Latn-BA"/>
              </w:rPr>
              <w:t>učenje. Na radionicama je učestvovalo 120 učesnika</w:t>
            </w:r>
          </w:p>
          <w:p w14:paraId="210389DD" w14:textId="6CCC87BB" w:rsidR="00D676A6" w:rsidRPr="009F1099" w:rsidRDefault="00D676A6" w:rsidP="009F109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AFCA" w14:textId="17EA1FBE" w:rsidR="00D676A6" w:rsidRPr="009F1099" w:rsidRDefault="00D676A6" w:rsidP="009F1099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 w:rsidRPr="00D676A6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NVO Biznis centar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9D52" w14:textId="37B7E71D" w:rsidR="00D676A6" w:rsidRPr="00FF6895" w:rsidRDefault="00D676A6" w:rsidP="009F1099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Realizovano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I–IV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EEEEDBE" w14:textId="08A699FA" w:rsidR="00D676A6" w:rsidRPr="009F1099" w:rsidRDefault="00D676A6" w:rsidP="009F109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  <w:p w14:paraId="7F3E2921" w14:textId="47DD1CCC" w:rsidR="00D676A6" w:rsidRPr="009F1099" w:rsidRDefault="00D676A6" w:rsidP="009F109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</w:tc>
      </w:tr>
      <w:tr w:rsidR="00D676A6" w:rsidRPr="009F1099" w14:paraId="5D5E0812" w14:textId="77777777" w:rsidTr="001B7DDD">
        <w:trPr>
          <w:trHeight w:val="570"/>
        </w:trPr>
        <w:tc>
          <w:tcPr>
            <w:tcW w:w="229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567CF" w14:textId="77777777" w:rsidR="00D676A6" w:rsidRPr="009F1099" w:rsidRDefault="00D676A6" w:rsidP="009F1099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C4D1D" w14:textId="77777777" w:rsidR="00D676A6" w:rsidRPr="009F1099" w:rsidRDefault="00D676A6" w:rsidP="009F1099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70E01" w14:textId="77777777" w:rsidR="00D676A6" w:rsidRPr="009F1099" w:rsidRDefault="00D676A6" w:rsidP="009F1099">
            <w:pPr>
              <w:spacing w:after="0" w:line="240" w:lineRule="auto"/>
              <w:rPr>
                <w:rFonts w:ascii="Times New Roman" w:hAnsi="Times New Roman"/>
                <w:sz w:val="18"/>
                <w:lang w:val="bs-Latn-BA"/>
              </w:rPr>
            </w:pPr>
          </w:p>
        </w:tc>
        <w:tc>
          <w:tcPr>
            <w:tcW w:w="1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063F" w14:textId="4B4D3DB3" w:rsidR="00D676A6" w:rsidRPr="009F1099" w:rsidRDefault="00F01D52" w:rsidP="009F1099">
            <w:pPr>
              <w:rPr>
                <w:rFonts w:ascii="Times New Roman" w:hAnsi="Times New Roman"/>
                <w:sz w:val="18"/>
                <w:lang w:val="bs-Latn-BA"/>
              </w:rPr>
            </w:pPr>
            <w:r>
              <w:rPr>
                <w:rFonts w:ascii="Times New Roman" w:hAnsi="Times New Roman"/>
                <w:sz w:val="18"/>
                <w:lang w:val="bs-Latn-BA"/>
              </w:rPr>
              <w:t>IPC Tehnopolis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561C" w14:textId="77777777" w:rsidR="00D676A6" w:rsidRDefault="00D676A6" w:rsidP="00D676A6">
            <w:pPr>
              <w:pStyle w:val="Default"/>
              <w:rPr>
                <w:rFonts w:ascii="Times New Roman" w:hAnsi="Times New Roman"/>
                <w:sz w:val="18"/>
                <w:lang w:val="bs-Latn-BA"/>
              </w:rPr>
            </w:pP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IPC Tehnopolis –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platforma Startapuspeh.com (28 korisnika)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44FD" w14:textId="3CF9F1D3" w:rsidR="00D676A6" w:rsidRPr="009F1099" w:rsidRDefault="00D676A6" w:rsidP="009F1099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IPC Tehnopolis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8F6E" w14:textId="4ECF5A3D" w:rsidR="00D676A6" w:rsidRPr="009F1099" w:rsidRDefault="00D676A6" w:rsidP="009F1099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D676A6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Realizovano I–IV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D03298E" w14:textId="77777777" w:rsidR="00D676A6" w:rsidRPr="009F1099" w:rsidRDefault="00D676A6" w:rsidP="009F109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</w:tc>
      </w:tr>
      <w:tr w:rsidR="00756E9F" w:rsidRPr="009F1099" w14:paraId="0D6E852F" w14:textId="77777777" w:rsidTr="00756E9F">
        <w:tc>
          <w:tcPr>
            <w:tcW w:w="22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3E20912" w14:textId="472F2054" w:rsidR="00756E9F" w:rsidRPr="009F1099" w:rsidRDefault="00756E9F" w:rsidP="009F109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1.6. Jačanje kapaciteta Lokalnog partnerstva za zapošljavanje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182D9FE" w14:textId="75F7FF58" w:rsidR="00756E9F" w:rsidRPr="009F1099" w:rsidRDefault="00756E9F" w:rsidP="009F109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Predstavnici Lokalnog partnerstva za zapošljavanje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9B82581" w14:textId="77777777" w:rsidR="00756E9F" w:rsidRPr="009F1099" w:rsidRDefault="00756E9F" w:rsidP="009F1099">
            <w:pPr>
              <w:spacing w:after="0" w:line="240" w:lineRule="auto"/>
              <w:rPr>
                <w:rFonts w:ascii="Times New Roman" w:hAnsi="Times New Roman"/>
                <w:sz w:val="18"/>
                <w:lang w:val="bs-Latn-BA"/>
              </w:rPr>
            </w:pPr>
            <w:r w:rsidRPr="009F1099">
              <w:rPr>
                <w:rFonts w:ascii="Times New Roman" w:hAnsi="Times New Roman"/>
                <w:sz w:val="18"/>
                <w:lang w:val="bs-Latn-BA"/>
              </w:rPr>
              <w:t>Predstavljen rad uspješnih lokalnih partnerstava iz zemlje i regiona</w:t>
            </w:r>
          </w:p>
          <w:p w14:paraId="3EEE32E8" w14:textId="77777777" w:rsidR="00756E9F" w:rsidRPr="009F1099" w:rsidRDefault="00756E9F" w:rsidP="009F1099">
            <w:pPr>
              <w:spacing w:after="0" w:line="240" w:lineRule="auto"/>
              <w:rPr>
                <w:rFonts w:ascii="Times New Roman" w:eastAsia="Calibri" w:hAnsi="Times New Roman"/>
                <w:b/>
                <w:noProof/>
                <w:sz w:val="18"/>
                <w:lang w:val="sr-Latn-ME"/>
              </w:rPr>
            </w:pPr>
          </w:p>
          <w:p w14:paraId="23F1D90A" w14:textId="2467EF3F" w:rsidR="00756E9F" w:rsidRPr="009F1099" w:rsidRDefault="00756E9F" w:rsidP="009F1099">
            <w:pPr>
              <w:spacing w:after="0" w:line="240" w:lineRule="auto"/>
              <w:rPr>
                <w:rFonts w:ascii="Times New Roman" w:eastAsia="Calibri" w:hAnsi="Times New Roman"/>
                <w:bCs/>
                <w:noProof/>
                <w:sz w:val="18"/>
                <w:lang w:val="sr-Latn-ME"/>
              </w:rPr>
            </w:pPr>
            <w:r w:rsidRPr="009F1099">
              <w:rPr>
                <w:rFonts w:ascii="Times New Roman" w:eastAsia="Calibri" w:hAnsi="Times New Roman"/>
                <w:bCs/>
                <w:noProof/>
                <w:sz w:val="18"/>
                <w:lang w:val="sr-Latn-ME"/>
              </w:rPr>
              <w:t>Uključeno 15 lica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0202077" w14:textId="5E8969E5" w:rsidR="00756E9F" w:rsidRPr="009F1099" w:rsidRDefault="00756E9F" w:rsidP="009F109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Opština Nikšić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B8A21D0" w14:textId="3C81D1AC" w:rsidR="00756E9F" w:rsidRPr="009F1099" w:rsidRDefault="00756E9F" w:rsidP="009F109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Članovi Lokalnog partnerstva za zapošljavanje</w:t>
            </w:r>
            <w:r w:rsidR="002A16F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učestvovali </w:t>
            </w:r>
            <w:r w:rsidR="002A16F8"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su </w:t>
            </w: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 izradi nacrta Lokalne str</w:t>
            </w:r>
            <w:r w:rsidR="00E91DEB"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</w:t>
            </w: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tegije za zapo</w:t>
            </w:r>
            <w:r w:rsidR="006B2C6C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š</w:t>
            </w: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ljavanje u opštini Nikšić i Akcionog plana za 2024. godinu</w:t>
            </w:r>
            <w:r w:rsidR="0041739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i u izvještajnom periodu je održano više zajedničkih sastanaka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D400553" w14:textId="5C5323CC" w:rsidR="00756E9F" w:rsidRPr="009F1099" w:rsidRDefault="00756E9F" w:rsidP="009F1099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 w:rsidRPr="009F1099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N/A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C19160B" w14:textId="5893C1A1" w:rsidR="00756E9F" w:rsidRPr="00FF6895" w:rsidRDefault="00756E9F" w:rsidP="009F1099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Realizovano</w:t>
            </w:r>
            <w:r w:rsidR="00FF689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9F109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I–IV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D2F785" w14:textId="23BA946F" w:rsidR="00756E9F" w:rsidRPr="009F1099" w:rsidRDefault="00756E9F" w:rsidP="009F109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</w:tc>
      </w:tr>
      <w:bookmarkEnd w:id="0"/>
    </w:tbl>
    <w:p w14:paraId="0FC3FAA6" w14:textId="5A1334C0" w:rsidR="001D70C6" w:rsidRDefault="001D70C6" w:rsidP="005C30A9">
      <w:pPr>
        <w:jc w:val="center"/>
        <w:rPr>
          <w:b/>
          <w:bCs/>
          <w:sz w:val="28"/>
          <w:szCs w:val="28"/>
          <w:lang w:val="sr-Cyrl-RS"/>
        </w:rPr>
      </w:pPr>
    </w:p>
    <w:p w14:paraId="24508198" w14:textId="3F886F39" w:rsidR="001D70C6" w:rsidRDefault="001D70C6" w:rsidP="005C30A9">
      <w:pPr>
        <w:jc w:val="center"/>
        <w:rPr>
          <w:b/>
          <w:bCs/>
          <w:sz w:val="28"/>
          <w:szCs w:val="28"/>
          <w:lang w:val="sr-Cyrl-RS"/>
        </w:rPr>
      </w:pPr>
    </w:p>
    <w:p w14:paraId="701FB0BA" w14:textId="0ACBB34E" w:rsidR="001D70C6" w:rsidRDefault="001D70C6" w:rsidP="005C30A9">
      <w:pPr>
        <w:jc w:val="center"/>
        <w:rPr>
          <w:b/>
          <w:bCs/>
          <w:sz w:val="28"/>
          <w:szCs w:val="28"/>
          <w:lang w:val="sr-Cyrl-RS"/>
        </w:rPr>
      </w:pPr>
    </w:p>
    <w:p w14:paraId="37674F3A" w14:textId="58BE9692" w:rsidR="005C30A9" w:rsidRDefault="005C30A9">
      <w:pPr>
        <w:rPr>
          <w:lang w:val="bs-Latn-BA"/>
        </w:rPr>
      </w:pPr>
    </w:p>
    <w:tbl>
      <w:tblPr>
        <w:tblStyle w:val="Koordinatnamreatabele"/>
        <w:tblW w:w="15452" w:type="dxa"/>
        <w:tblInd w:w="-866" w:type="dxa"/>
        <w:tblLook w:val="04A0" w:firstRow="1" w:lastRow="0" w:firstColumn="1" w:lastColumn="0" w:noHBand="0" w:noVBand="1"/>
      </w:tblPr>
      <w:tblGrid>
        <w:gridCol w:w="2493"/>
        <w:gridCol w:w="1506"/>
        <w:gridCol w:w="1458"/>
        <w:gridCol w:w="1319"/>
        <w:gridCol w:w="2829"/>
        <w:gridCol w:w="1558"/>
        <w:gridCol w:w="2021"/>
        <w:gridCol w:w="2268"/>
      </w:tblGrid>
      <w:tr w:rsidR="000C46F8" w:rsidRPr="002C431F" w14:paraId="7E50073E" w14:textId="77777777" w:rsidTr="00B71236">
        <w:tc>
          <w:tcPr>
            <w:tcW w:w="1545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</w:tcPr>
          <w:p w14:paraId="12EEF1F9" w14:textId="77777777" w:rsidR="000C46F8" w:rsidRPr="002C431F" w:rsidRDefault="000C46F8" w:rsidP="00A60C92">
            <w:pPr>
              <w:pStyle w:val="Default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</w:p>
          <w:p w14:paraId="73C59773" w14:textId="4DEEC2E5" w:rsidR="000C46F8" w:rsidRPr="002C431F" w:rsidRDefault="000C46F8" w:rsidP="00A60C9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  <w:r w:rsidRPr="002C431F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OPERATIVNI CILJ </w:t>
            </w:r>
            <w:r w:rsidR="009F1099" w:rsidRPr="002C431F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2</w:t>
            </w:r>
            <w:r w:rsidRPr="002C431F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: </w:t>
            </w:r>
            <w:r w:rsidR="009F1099" w:rsidRPr="002C431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s-Latn-BA"/>
              </w:rPr>
              <w:t>Jačanje konkurentnosti opštine Nikšić kroz unapređenje poslovnog okruženja i poslovnog sektora</w:t>
            </w:r>
          </w:p>
        </w:tc>
      </w:tr>
      <w:tr w:rsidR="00756E9F" w:rsidRPr="002C431F" w14:paraId="4475C7ED" w14:textId="77777777" w:rsidTr="00756E9F">
        <w:tc>
          <w:tcPr>
            <w:tcW w:w="2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</w:tcPr>
          <w:p w14:paraId="4E4245AF" w14:textId="77777777" w:rsidR="00756E9F" w:rsidRPr="002C431F" w:rsidRDefault="00756E9F" w:rsidP="00A6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  <w:r w:rsidRPr="002C431F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 Mjera</w:t>
            </w:r>
          </w:p>
        </w:tc>
        <w:tc>
          <w:tcPr>
            <w:tcW w:w="1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</w:tcPr>
          <w:p w14:paraId="5F781D38" w14:textId="77777777" w:rsidR="00756E9F" w:rsidRPr="002C431F" w:rsidRDefault="00756E9F" w:rsidP="00A6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  <w:r w:rsidRPr="002C431F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Ciljna grupa</w:t>
            </w:r>
          </w:p>
        </w:tc>
        <w:tc>
          <w:tcPr>
            <w:tcW w:w="1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</w:tcPr>
          <w:p w14:paraId="1E05D499" w14:textId="77777777" w:rsidR="00756E9F" w:rsidRPr="002C431F" w:rsidRDefault="00756E9F" w:rsidP="00A60C9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iCs/>
                <w:noProof/>
                <w:sz w:val="18"/>
                <w:lang w:val="sr-Latn-ME"/>
              </w:rPr>
            </w:pPr>
            <w:r w:rsidRPr="002C431F">
              <w:rPr>
                <w:rFonts w:ascii="Times New Roman" w:eastAsia="Calibri" w:hAnsi="Times New Roman"/>
                <w:b/>
                <w:noProof/>
                <w:sz w:val="18"/>
                <w:lang w:val="sr-Latn-ME"/>
              </w:rPr>
              <w:t>Očekivani rezultat i planiran broj uključenih</w:t>
            </w:r>
          </w:p>
          <w:p w14:paraId="60B9B098" w14:textId="77777777" w:rsidR="00756E9F" w:rsidRPr="002C431F" w:rsidRDefault="00756E9F" w:rsidP="00A6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1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</w:tcPr>
          <w:p w14:paraId="4EB8AE34" w14:textId="27D03A45" w:rsidR="00756E9F" w:rsidRPr="002C431F" w:rsidRDefault="00756E9F" w:rsidP="00A6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  <w:proofErr w:type="spellStart"/>
            <w:r w:rsidRPr="002C431F">
              <w:rPr>
                <w:rFonts w:ascii="Times New Roman" w:hAnsi="Times New Roman" w:cs="Times New Roman"/>
                <w:b/>
                <w:sz w:val="18"/>
                <w:szCs w:val="18"/>
              </w:rPr>
              <w:t>Odgovornost</w:t>
            </w:r>
            <w:proofErr w:type="spellEnd"/>
            <w:r w:rsidRPr="002C43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 </w:t>
            </w:r>
            <w:proofErr w:type="spellStart"/>
            <w:r w:rsidRPr="002C431F">
              <w:rPr>
                <w:rFonts w:ascii="Times New Roman" w:hAnsi="Times New Roman" w:cs="Times New Roman"/>
                <w:b/>
                <w:sz w:val="18"/>
                <w:szCs w:val="18"/>
              </w:rPr>
              <w:t>realizaciju</w:t>
            </w:r>
            <w:proofErr w:type="spellEnd"/>
          </w:p>
        </w:tc>
        <w:tc>
          <w:tcPr>
            <w:tcW w:w="2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</w:tcPr>
          <w:p w14:paraId="1DFFEBD1" w14:textId="77777777" w:rsidR="00756E9F" w:rsidRPr="002C431F" w:rsidRDefault="00756E9F" w:rsidP="00A6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  <w:r w:rsidRPr="002C431F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Rezultat /</w:t>
            </w:r>
            <w:r w:rsidRPr="002C431F"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  <w:lang w:val="sr-Latn-ME"/>
              </w:rPr>
              <w:t xml:space="preserve"> postignute vrijednosti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</w:tcPr>
          <w:p w14:paraId="7E066C1E" w14:textId="77777777" w:rsidR="00756E9F" w:rsidRPr="002C431F" w:rsidRDefault="00756E9F" w:rsidP="00A6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  <w:r w:rsidRPr="002C431F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Izvor finansiranja</w:t>
            </w: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</w:tcPr>
          <w:p w14:paraId="4B27078F" w14:textId="402633F9" w:rsidR="00756E9F" w:rsidRPr="002A16F8" w:rsidRDefault="00756E9F" w:rsidP="002A16F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2C431F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Status realizacije</w:t>
            </w:r>
            <w:r w:rsidR="002A16F8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 xml:space="preserve"> </w:t>
            </w:r>
            <w:r w:rsidRPr="002C431F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/</w:t>
            </w:r>
            <w:r w:rsidR="002A16F8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 xml:space="preserve"> </w:t>
            </w:r>
            <w:r w:rsidRPr="002C431F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 xml:space="preserve">vremenski period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</w:tcPr>
          <w:p w14:paraId="174EC8B0" w14:textId="0DC6541C" w:rsidR="00756E9F" w:rsidRPr="002C431F" w:rsidRDefault="00756E9F" w:rsidP="00A6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  <w:r w:rsidRPr="002C431F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Napomene</w:t>
            </w:r>
          </w:p>
        </w:tc>
      </w:tr>
      <w:tr w:rsidR="00D676A6" w:rsidRPr="002C431F" w14:paraId="51479714" w14:textId="77777777" w:rsidTr="00D81960">
        <w:trPr>
          <w:trHeight w:val="960"/>
        </w:trPr>
        <w:tc>
          <w:tcPr>
            <w:tcW w:w="249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583AD94" w14:textId="469F6B70" w:rsidR="00D676A6" w:rsidRPr="002C431F" w:rsidRDefault="00D676A6" w:rsidP="002C431F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C431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2.1. Unapređenje infrastrukture za sprovođenje obuka (npr. opremanje „Doma digitalne revolucije“)</w:t>
            </w:r>
          </w:p>
        </w:tc>
        <w:tc>
          <w:tcPr>
            <w:tcW w:w="15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708D7" w14:textId="6CE97EFA" w:rsidR="00D676A6" w:rsidRPr="002C431F" w:rsidRDefault="00D676A6" w:rsidP="00C54F8A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C431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Investitori/ preduzeća</w:t>
            </w:r>
          </w:p>
        </w:tc>
        <w:tc>
          <w:tcPr>
            <w:tcW w:w="14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55F65" w14:textId="77777777" w:rsidR="00D676A6" w:rsidRPr="002C431F" w:rsidRDefault="00D676A6" w:rsidP="002C431F">
            <w:pPr>
              <w:spacing w:after="0"/>
              <w:rPr>
                <w:rFonts w:ascii="Times New Roman" w:hAnsi="Times New Roman"/>
                <w:sz w:val="18"/>
                <w:lang w:val="bs-Latn-BA"/>
              </w:rPr>
            </w:pPr>
            <w:r w:rsidRPr="002C431F">
              <w:rPr>
                <w:rFonts w:ascii="Times New Roman" w:hAnsi="Times New Roman"/>
                <w:sz w:val="18"/>
                <w:lang w:val="bs-Latn-BA"/>
              </w:rPr>
              <w:t>Obezbijeđena funkcionalna</w:t>
            </w:r>
          </w:p>
          <w:p w14:paraId="3E0B0688" w14:textId="5AB9A78A" w:rsidR="00D676A6" w:rsidRPr="002C431F" w:rsidRDefault="00D676A6" w:rsidP="002C431F">
            <w:pPr>
              <w:spacing w:after="0" w:line="240" w:lineRule="auto"/>
              <w:rPr>
                <w:rFonts w:ascii="Times New Roman" w:eastAsia="Calibri" w:hAnsi="Times New Roman"/>
                <w:b/>
                <w:noProof/>
                <w:sz w:val="18"/>
                <w:lang w:val="sr-Latn-ME"/>
              </w:rPr>
            </w:pPr>
            <w:r w:rsidRPr="002C431F">
              <w:rPr>
                <w:rFonts w:ascii="Times New Roman" w:hAnsi="Times New Roman"/>
                <w:sz w:val="18"/>
                <w:lang w:val="bs-Latn-BA"/>
              </w:rPr>
              <w:t>infrastruktura</w:t>
            </w:r>
          </w:p>
        </w:tc>
        <w:tc>
          <w:tcPr>
            <w:tcW w:w="131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674DC" w14:textId="37858887" w:rsidR="00D676A6" w:rsidRPr="002C431F" w:rsidRDefault="00D676A6" w:rsidP="002C431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431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Opština Nikšić</w:t>
            </w:r>
          </w:p>
        </w:tc>
        <w:tc>
          <w:tcPr>
            <w:tcW w:w="28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DF384" w14:textId="1C102D22" w:rsidR="00D676A6" w:rsidRPr="002C431F" w:rsidRDefault="00D676A6" w:rsidP="002C431F">
            <w:pPr>
              <w:rPr>
                <w:rFonts w:ascii="Times New Roman" w:hAnsi="Times New Roman"/>
                <w:b/>
                <w:sz w:val="18"/>
                <w:lang w:val="hr-HR"/>
              </w:rPr>
            </w:pPr>
            <w:r w:rsidRPr="002C431F">
              <w:rPr>
                <w:rFonts w:ascii="Times New Roman" w:hAnsi="Times New Roman"/>
                <w:sz w:val="18"/>
                <w:lang w:val="bs-Latn-BA"/>
              </w:rPr>
              <w:t>U Tržnom centru Nikšić</w:t>
            </w:r>
            <w:r>
              <w:rPr>
                <w:rFonts w:ascii="Times New Roman" w:hAnsi="Times New Roman"/>
                <w:sz w:val="18"/>
                <w:lang w:val="bs-Latn-BA"/>
              </w:rPr>
              <w:t xml:space="preserve"> – </w:t>
            </w:r>
            <w:r w:rsidRPr="002C431F">
              <w:rPr>
                <w:rFonts w:ascii="Times New Roman" w:hAnsi="Times New Roman"/>
                <w:sz w:val="18"/>
                <w:lang w:val="bs-Latn-BA"/>
              </w:rPr>
              <w:t>Opština Nikšić je opremila prostor</w:t>
            </w:r>
            <w:r>
              <w:rPr>
                <w:rFonts w:ascii="Times New Roman" w:hAnsi="Times New Roman"/>
                <w:sz w:val="18"/>
                <w:lang w:val="bs-Latn-BA"/>
              </w:rPr>
              <w:t xml:space="preserve"> </w:t>
            </w:r>
            <w:r w:rsidRPr="002C431F">
              <w:rPr>
                <w:rFonts w:ascii="Times New Roman" w:hAnsi="Times New Roman"/>
                <w:sz w:val="18"/>
                <w:lang w:val="bs-Latn-BA"/>
              </w:rPr>
              <w:t>za Inform</w:t>
            </w:r>
            <w:r>
              <w:rPr>
                <w:rFonts w:ascii="Times New Roman" w:hAnsi="Times New Roman"/>
                <w:sz w:val="18"/>
                <w:lang w:val="bs-Latn-BA"/>
              </w:rPr>
              <w:t>a</w:t>
            </w:r>
            <w:r w:rsidRPr="002C431F">
              <w:rPr>
                <w:rFonts w:ascii="Times New Roman" w:hAnsi="Times New Roman"/>
                <w:sz w:val="18"/>
                <w:lang w:val="bs-Latn-BA"/>
              </w:rPr>
              <w:t>tivno-edukativni centar za nezaposlene i poslodavce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78C6" w14:textId="75CCFD73" w:rsidR="00D676A6" w:rsidRDefault="00D676A6" w:rsidP="002C431F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C431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Budžet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</w:t>
            </w:r>
            <w:r w:rsidRPr="002C431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pštine Nikšić</w:t>
            </w:r>
          </w:p>
          <w:p w14:paraId="5424104C" w14:textId="069226A1" w:rsidR="00D676A6" w:rsidRDefault="00D676A6" w:rsidP="002C431F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2FE09AFF" w14:textId="77777777" w:rsidR="00D676A6" w:rsidRDefault="00D676A6" w:rsidP="002C431F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2433CF65" w14:textId="41706FA6" w:rsidR="00D676A6" w:rsidRPr="001D31A7" w:rsidRDefault="00D676A6" w:rsidP="002C431F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20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1142" w14:textId="0A678691" w:rsidR="00D676A6" w:rsidRPr="002C431F" w:rsidRDefault="00D676A6" w:rsidP="002C431F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2C431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Realizovano</w:t>
            </w:r>
            <w:r w:rsidRPr="002C431F">
              <w:rPr>
                <w:rFonts w:ascii="Times New Roman" w:hAnsi="Times New Roman" w:cs="Times New Roman"/>
                <w:sz w:val="18"/>
                <w:szCs w:val="18"/>
              </w:rPr>
              <w:t xml:space="preserve"> I–IV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E522AFB" w14:textId="0D5052D1" w:rsidR="00D676A6" w:rsidRPr="00DE1521" w:rsidRDefault="00D676A6" w:rsidP="00DE1521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 w:rsidRPr="00DE1521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 xml:space="preserve">Za opremanje prostora </w:t>
            </w:r>
            <w:r w:rsidR="0083626D" w:rsidRPr="0083626D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Informativno-edukativn</w:t>
            </w:r>
            <w:r w:rsidR="0083626D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og</w:t>
            </w:r>
            <w:r w:rsidR="0083626D" w:rsidRPr="0083626D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 xml:space="preserve"> cent</w:t>
            </w:r>
            <w:r w:rsidR="0083626D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ra</w:t>
            </w:r>
            <w:r w:rsidR="0083626D" w:rsidRPr="0083626D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 xml:space="preserve"> </w:t>
            </w:r>
            <w:r w:rsidRPr="00DE1521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 xml:space="preserve">utrošeno je ukupno 5.689,78 </w:t>
            </w:r>
            <w:r w:rsidR="00F01D52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€</w:t>
            </w:r>
            <w:r w:rsidR="00E41F6D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 xml:space="preserve"> (bez PDV-a)</w:t>
            </w:r>
          </w:p>
        </w:tc>
      </w:tr>
      <w:tr w:rsidR="00F01D52" w:rsidRPr="002C431F" w14:paraId="6BA880D4" w14:textId="77777777" w:rsidTr="00F15C40">
        <w:trPr>
          <w:trHeight w:val="1555"/>
        </w:trPr>
        <w:tc>
          <w:tcPr>
            <w:tcW w:w="249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79B3702" w14:textId="77777777" w:rsidR="00F01D52" w:rsidRPr="002C431F" w:rsidRDefault="00F01D52" w:rsidP="002C431F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A375E" w14:textId="77777777" w:rsidR="00F01D52" w:rsidRPr="002C431F" w:rsidRDefault="00F01D52" w:rsidP="00C54F8A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B03B7" w14:textId="77777777" w:rsidR="00F01D52" w:rsidRPr="002C431F" w:rsidRDefault="00F01D52" w:rsidP="002C431F">
            <w:pPr>
              <w:spacing w:after="0"/>
              <w:rPr>
                <w:rFonts w:ascii="Times New Roman" w:hAnsi="Times New Roman"/>
                <w:sz w:val="18"/>
                <w:lang w:val="bs-Latn-BA"/>
              </w:rPr>
            </w:pP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A52FC" w14:textId="6C1956CF" w:rsidR="00F01D52" w:rsidRPr="002C431F" w:rsidRDefault="00F01D52" w:rsidP="002C431F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NVO Biznis centar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E364F" w14:textId="38981FF0" w:rsidR="00F01D52" w:rsidRPr="002C431F" w:rsidRDefault="00F01D52" w:rsidP="00D676A6">
            <w:pPr>
              <w:rPr>
                <w:rFonts w:ascii="Times New Roman" w:hAnsi="Times New Roman"/>
                <w:sz w:val="18"/>
                <w:lang w:val="bs-Latn-BA"/>
              </w:rPr>
            </w:pPr>
            <w:r w:rsidRPr="002C431F">
              <w:rPr>
                <w:rFonts w:ascii="Times New Roman" w:hAnsi="Times New Roman"/>
                <w:sz w:val="18"/>
                <w:lang w:val="bs-Latn-BA"/>
              </w:rPr>
              <w:t>Osposobljena je konferencijska sala predviđena programom tehnološke infrastrukture „VR Lab“ NVO Biznis centar – poslovni inkubator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D3A7C" w14:textId="77777777" w:rsidR="00F01D52" w:rsidRDefault="00F01D52" w:rsidP="00D676A6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 w:rsidRPr="00D676A6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 xml:space="preserve">NVO Biznis centar </w:t>
            </w:r>
          </w:p>
          <w:p w14:paraId="23664759" w14:textId="467A1B11" w:rsidR="00F01D52" w:rsidRPr="002C431F" w:rsidRDefault="00F01D52" w:rsidP="00D676A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1D31A7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Donator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BE239" w14:textId="145B6CE1" w:rsidR="00F01D52" w:rsidRPr="002C431F" w:rsidRDefault="00F01D52" w:rsidP="002C431F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D676A6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Realizovano I–IV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9B263B9" w14:textId="77777777" w:rsidR="00F01D52" w:rsidRPr="002C431F" w:rsidRDefault="00F01D52" w:rsidP="00DE1521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</w:tc>
      </w:tr>
      <w:tr w:rsidR="00756E9F" w:rsidRPr="002C431F" w14:paraId="7DA8CA67" w14:textId="77777777" w:rsidTr="00756E9F"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D47B" w14:textId="77777777" w:rsidR="00756E9F" w:rsidRPr="002C431F" w:rsidRDefault="00756E9F" w:rsidP="002C431F">
            <w:pPr>
              <w:rPr>
                <w:rFonts w:ascii="Times New Roman" w:hAnsi="Times New Roman"/>
                <w:sz w:val="18"/>
                <w:lang w:val="bs-Latn-BA"/>
              </w:rPr>
            </w:pPr>
            <w:r w:rsidRPr="002C431F">
              <w:rPr>
                <w:rFonts w:ascii="Times New Roman" w:hAnsi="Times New Roman"/>
                <w:sz w:val="18"/>
                <w:lang w:val="bs-Latn-BA"/>
              </w:rPr>
              <w:t>2.2. Promocija i razvoj biznis zona</w:t>
            </w:r>
          </w:p>
          <w:p w14:paraId="427BC770" w14:textId="77777777" w:rsidR="00756E9F" w:rsidRPr="002C431F" w:rsidRDefault="00756E9F" w:rsidP="002C431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E01E" w14:textId="2B161E38" w:rsidR="00756E9F" w:rsidRPr="002C431F" w:rsidRDefault="00756E9F" w:rsidP="00C54F8A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C431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Potencijalni investitori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862B" w14:textId="77777777" w:rsidR="00756E9F" w:rsidRPr="002C431F" w:rsidRDefault="00756E9F" w:rsidP="002C431F">
            <w:pPr>
              <w:spacing w:after="0" w:line="240" w:lineRule="auto"/>
              <w:rPr>
                <w:rFonts w:ascii="Times New Roman" w:hAnsi="Times New Roman"/>
                <w:sz w:val="18"/>
                <w:lang w:val="bs-Latn-BA"/>
              </w:rPr>
            </w:pPr>
            <w:r w:rsidRPr="002C431F">
              <w:rPr>
                <w:rFonts w:ascii="Times New Roman" w:hAnsi="Times New Roman"/>
                <w:sz w:val="18"/>
                <w:lang w:val="bs-Latn-BA"/>
              </w:rPr>
              <w:t>Potencijalni investitori informisani o mogućnostima za ulaganje</w:t>
            </w:r>
          </w:p>
          <w:p w14:paraId="67CDE1E1" w14:textId="77777777" w:rsidR="00756E9F" w:rsidRPr="002C431F" w:rsidRDefault="00756E9F" w:rsidP="002C431F">
            <w:pPr>
              <w:spacing w:after="0" w:line="240" w:lineRule="auto"/>
              <w:rPr>
                <w:rFonts w:ascii="Times New Roman" w:eastAsia="Calibri" w:hAnsi="Times New Roman"/>
                <w:noProof/>
                <w:sz w:val="18"/>
                <w:lang w:val="bs-Latn-BA"/>
              </w:rPr>
            </w:pPr>
          </w:p>
          <w:p w14:paraId="67089CDD" w14:textId="58812301" w:rsidR="00756E9F" w:rsidRPr="002C431F" w:rsidRDefault="00756E9F" w:rsidP="002C431F">
            <w:pPr>
              <w:spacing w:after="0" w:line="240" w:lineRule="auto"/>
              <w:rPr>
                <w:rFonts w:ascii="Times New Roman" w:eastAsia="Calibri" w:hAnsi="Times New Roman"/>
                <w:b/>
                <w:noProof/>
                <w:sz w:val="18"/>
                <w:lang w:val="sr-Latn-ME"/>
              </w:rPr>
            </w:pPr>
            <w:r w:rsidRPr="002C431F">
              <w:rPr>
                <w:rFonts w:ascii="Times New Roman" w:eastAsia="Calibri" w:hAnsi="Times New Roman"/>
                <w:noProof/>
                <w:sz w:val="18"/>
                <w:lang w:val="bs-Latn-BA"/>
              </w:rPr>
              <w:t>10 uključenih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AC71" w14:textId="2BB69921" w:rsidR="00756E9F" w:rsidRPr="002C431F" w:rsidRDefault="00756E9F" w:rsidP="002C431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431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Opština Nikšić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242F0" w14:textId="2D8DDD00" w:rsidR="00756E9F" w:rsidRPr="002C431F" w:rsidRDefault="00756E9F" w:rsidP="002C431F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C431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Pripremljen film „Open of investment“ o investicionim mogućnostima u </w:t>
            </w:r>
            <w:r w:rsidR="00C54F8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</w:t>
            </w:r>
            <w:r w:rsidRPr="002C431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pštini Nikšić</w:t>
            </w:r>
            <w:r w:rsidR="002A16F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2C431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koji uključuje i </w:t>
            </w:r>
            <w:r w:rsidR="00743A3C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</w:t>
            </w:r>
            <w:r w:rsidRPr="002C431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iznis zone (NVO Biznis centar). Za fil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m</w:t>
            </w:r>
            <w:r w:rsidRPr="002C431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je organizovana promocija i isti je objavljen na YouTube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F3DC" w14:textId="553A3B58" w:rsidR="00756E9F" w:rsidRPr="00473A48" w:rsidRDefault="00473A48" w:rsidP="002C431F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 w:rsidRPr="00473A48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N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VO Biznis centar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36BB" w14:textId="41330F9B" w:rsidR="00756E9F" w:rsidRPr="002C431F" w:rsidRDefault="00756E9F" w:rsidP="002C431F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proofErr w:type="spellStart"/>
            <w:r w:rsidRPr="002C431F">
              <w:rPr>
                <w:rFonts w:ascii="Times New Roman" w:hAnsi="Times New Roman" w:cs="Times New Roman"/>
                <w:sz w:val="18"/>
                <w:szCs w:val="18"/>
              </w:rPr>
              <w:t>Realizovano</w:t>
            </w:r>
            <w:proofErr w:type="spellEnd"/>
            <w:r w:rsidRPr="002C431F">
              <w:rPr>
                <w:rFonts w:ascii="Times New Roman" w:hAnsi="Times New Roman" w:cs="Times New Roman"/>
                <w:sz w:val="18"/>
                <w:szCs w:val="18"/>
              </w:rPr>
              <w:t xml:space="preserve"> I–IV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1C6A916" w14:textId="374246F2" w:rsidR="00756E9F" w:rsidRPr="002C431F" w:rsidRDefault="00756E9F" w:rsidP="002C431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  <w:p w14:paraId="0DD3491E" w14:textId="157EA9BC" w:rsidR="00756E9F" w:rsidRPr="002C431F" w:rsidRDefault="00756E9F" w:rsidP="002C431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</w:tc>
      </w:tr>
      <w:tr w:rsidR="00F01D52" w:rsidRPr="002C431F" w14:paraId="3F527EA5" w14:textId="77777777" w:rsidTr="00F01D52">
        <w:trPr>
          <w:trHeight w:val="1177"/>
        </w:trPr>
        <w:tc>
          <w:tcPr>
            <w:tcW w:w="249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F69DA33" w14:textId="7629B07B" w:rsidR="00F01D52" w:rsidRPr="002C431F" w:rsidRDefault="00F01D52" w:rsidP="002C431F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C431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2.3. Promocija investicionih mogućnosti u opštini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4B3AA" w14:textId="3864554C" w:rsidR="00F01D52" w:rsidRPr="002C431F" w:rsidRDefault="00F01D52" w:rsidP="002C431F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C431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Potencijalni investitori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7B3AF" w14:textId="77777777" w:rsidR="00F01D52" w:rsidRPr="002C431F" w:rsidRDefault="00F01D52" w:rsidP="002C431F">
            <w:pPr>
              <w:spacing w:after="0" w:line="240" w:lineRule="auto"/>
              <w:rPr>
                <w:rFonts w:ascii="Times New Roman" w:hAnsi="Times New Roman"/>
                <w:sz w:val="18"/>
                <w:lang w:val="bs-Latn-BA"/>
              </w:rPr>
            </w:pPr>
            <w:r w:rsidRPr="002C431F">
              <w:rPr>
                <w:rFonts w:ascii="Times New Roman" w:hAnsi="Times New Roman"/>
                <w:sz w:val="18"/>
                <w:lang w:val="bs-Latn-BA"/>
              </w:rPr>
              <w:t>Potencijalni investitori</w:t>
            </w:r>
          </w:p>
          <w:p w14:paraId="6821241C" w14:textId="77777777" w:rsidR="00F01D52" w:rsidRPr="002C431F" w:rsidRDefault="00F01D52" w:rsidP="002C431F">
            <w:pPr>
              <w:spacing w:after="0" w:line="240" w:lineRule="auto"/>
              <w:rPr>
                <w:rFonts w:ascii="Times New Roman" w:eastAsia="Calibri" w:hAnsi="Times New Roman"/>
                <w:noProof/>
                <w:sz w:val="18"/>
                <w:lang w:val="bs-Latn-BA"/>
              </w:rPr>
            </w:pPr>
          </w:p>
          <w:p w14:paraId="22CD5222" w14:textId="67BC657B" w:rsidR="00F01D52" w:rsidRPr="002C431F" w:rsidRDefault="00F01D52" w:rsidP="002C431F">
            <w:pPr>
              <w:spacing w:after="0" w:line="240" w:lineRule="auto"/>
              <w:rPr>
                <w:rFonts w:ascii="Times New Roman" w:eastAsia="Calibri" w:hAnsi="Times New Roman"/>
                <w:b/>
                <w:noProof/>
                <w:sz w:val="18"/>
                <w:lang w:val="sr-Latn-ME"/>
              </w:rPr>
            </w:pPr>
            <w:r w:rsidRPr="002C431F">
              <w:rPr>
                <w:rFonts w:ascii="Times New Roman" w:eastAsia="Calibri" w:hAnsi="Times New Roman"/>
                <w:noProof/>
                <w:sz w:val="18"/>
                <w:lang w:val="bs-Latn-BA"/>
              </w:rPr>
              <w:t>30 uključenih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49FDE" w14:textId="655C46A2" w:rsidR="00F01D52" w:rsidRPr="002C431F" w:rsidRDefault="00F01D52" w:rsidP="002C431F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431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Opština Nikšić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5E65C" w14:textId="640710A7" w:rsidR="00F01D52" w:rsidRPr="002C431F" w:rsidRDefault="00F01D52" w:rsidP="00D676A6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C431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Kroz individualne i druge sastanke ili događaje preko 30 potencijalnih investitora je upoznato sa investicionim mogućnostima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321AD" w14:textId="0FF13735" w:rsidR="00F01D52" w:rsidRPr="00F01D52" w:rsidRDefault="00F01D52" w:rsidP="00D676A6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 w:rsidRPr="00F01D52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N/A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8996B" w14:textId="77777777" w:rsidR="00F01D52" w:rsidRPr="002C431F" w:rsidRDefault="00F01D52" w:rsidP="002C431F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proofErr w:type="spellStart"/>
            <w:r w:rsidRPr="002C431F">
              <w:rPr>
                <w:rFonts w:ascii="Times New Roman" w:hAnsi="Times New Roman" w:cs="Times New Roman"/>
                <w:sz w:val="18"/>
                <w:szCs w:val="18"/>
              </w:rPr>
              <w:t>Realizovano</w:t>
            </w:r>
            <w:proofErr w:type="spellEnd"/>
            <w:r w:rsidRPr="002C431F">
              <w:rPr>
                <w:rFonts w:ascii="Times New Roman" w:hAnsi="Times New Roman" w:cs="Times New Roman"/>
                <w:sz w:val="18"/>
                <w:szCs w:val="18"/>
              </w:rPr>
              <w:t xml:space="preserve"> I–IV</w:t>
            </w:r>
          </w:p>
          <w:p w14:paraId="340FC3EA" w14:textId="5042E7B9" w:rsidR="00F01D52" w:rsidRPr="002C431F" w:rsidRDefault="00F01D52" w:rsidP="002C431F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0C9E958" w14:textId="0763AA08" w:rsidR="00F01D52" w:rsidRPr="002C431F" w:rsidRDefault="00F01D52" w:rsidP="002C431F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  <w:p w14:paraId="14D15FBC" w14:textId="79A3438E" w:rsidR="00F01D52" w:rsidRPr="002C431F" w:rsidRDefault="00F01D52" w:rsidP="002C431F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</w:tc>
      </w:tr>
      <w:tr w:rsidR="00756E9F" w:rsidRPr="002C431F" w14:paraId="77C3594F" w14:textId="77777777" w:rsidTr="00756E9F"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1677E" w14:textId="75BD063B" w:rsidR="00756E9F" w:rsidRPr="002C431F" w:rsidRDefault="00756E9F" w:rsidP="002C431F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C431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2.4. Razvoj klastera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C27AA" w14:textId="6FA50BDA" w:rsidR="00756E9F" w:rsidRPr="002C431F" w:rsidRDefault="00756E9F" w:rsidP="002C431F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C431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Lokalni privrednici, (potencijalni) predstavnici klastera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64E5" w14:textId="26318153" w:rsidR="00756E9F" w:rsidRPr="002C431F" w:rsidRDefault="00756E9F" w:rsidP="002C431F">
            <w:pPr>
              <w:spacing w:after="0" w:line="240" w:lineRule="auto"/>
              <w:rPr>
                <w:rFonts w:ascii="Times New Roman" w:eastAsia="Calibri" w:hAnsi="Times New Roman"/>
                <w:b/>
                <w:noProof/>
                <w:sz w:val="18"/>
                <w:lang w:val="sr-Latn-ME"/>
              </w:rPr>
            </w:pPr>
            <w:r w:rsidRPr="002C431F">
              <w:rPr>
                <w:rFonts w:ascii="Times New Roman" w:hAnsi="Times New Roman"/>
                <w:sz w:val="18"/>
                <w:lang w:val="bs-Latn-BA"/>
              </w:rPr>
              <w:t>Registrovano 8 klastera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51CA" w14:textId="77777777" w:rsidR="00756E9F" w:rsidRPr="002C431F" w:rsidRDefault="00756E9F" w:rsidP="002C431F">
            <w:pPr>
              <w:rPr>
                <w:rFonts w:ascii="Times New Roman" w:hAnsi="Times New Roman"/>
                <w:sz w:val="18"/>
                <w:lang w:val="bs-Latn-BA"/>
              </w:rPr>
            </w:pPr>
            <w:r w:rsidRPr="002C431F">
              <w:rPr>
                <w:rFonts w:ascii="Times New Roman" w:hAnsi="Times New Roman"/>
                <w:sz w:val="18"/>
                <w:lang w:val="bs-Latn-BA"/>
              </w:rPr>
              <w:t>Opština Nikšić</w:t>
            </w:r>
          </w:p>
          <w:p w14:paraId="65CD919C" w14:textId="05348E8A" w:rsidR="00756E9F" w:rsidRPr="002C431F" w:rsidRDefault="00756E9F" w:rsidP="002C431F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431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NVO</w:t>
            </w:r>
            <w:r w:rsidR="00F01D5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Biznis centar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0795" w14:textId="7E86E634" w:rsidR="00756E9F" w:rsidRPr="002C431F" w:rsidRDefault="00756E9F" w:rsidP="002C431F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C431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Registrovano je osam (8) klasterskih organizacija koje su direktno umrežene sa radom Privrednog savjeta Opštine Nikšić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A6E9" w14:textId="73F7AE67" w:rsidR="00756E9F" w:rsidRPr="00F01D52" w:rsidRDefault="00F01D52" w:rsidP="002C431F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 w:rsidRPr="00F01D52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N/A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12F0" w14:textId="14662B35" w:rsidR="00756E9F" w:rsidRPr="002C431F" w:rsidRDefault="00756E9F" w:rsidP="002C431F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proofErr w:type="spellStart"/>
            <w:r w:rsidRPr="002C431F">
              <w:rPr>
                <w:rFonts w:ascii="Times New Roman" w:hAnsi="Times New Roman" w:cs="Times New Roman"/>
                <w:sz w:val="18"/>
                <w:szCs w:val="18"/>
              </w:rPr>
              <w:t>Realizovano</w:t>
            </w:r>
            <w:proofErr w:type="spellEnd"/>
            <w:r w:rsidRPr="002C431F">
              <w:rPr>
                <w:rFonts w:ascii="Times New Roman" w:hAnsi="Times New Roman" w:cs="Times New Roman"/>
                <w:sz w:val="18"/>
                <w:szCs w:val="18"/>
              </w:rPr>
              <w:t xml:space="preserve"> I–IV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BFCC7E" w14:textId="055DC6E0" w:rsidR="00756E9F" w:rsidRPr="002C431F" w:rsidRDefault="00756E9F" w:rsidP="002C431F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  <w:p w14:paraId="0F061795" w14:textId="227F3695" w:rsidR="00756E9F" w:rsidRPr="002C431F" w:rsidRDefault="00756E9F" w:rsidP="002C431F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</w:tc>
      </w:tr>
      <w:tr w:rsidR="00D676A6" w:rsidRPr="002C431F" w14:paraId="7F428C3E" w14:textId="77777777" w:rsidTr="00FA7F43">
        <w:trPr>
          <w:trHeight w:val="540"/>
        </w:trPr>
        <w:tc>
          <w:tcPr>
            <w:tcW w:w="249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C463605" w14:textId="343E1B73" w:rsidR="00D676A6" w:rsidRPr="002C431F" w:rsidRDefault="00D676A6" w:rsidP="002C431F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C431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2.5. Unapređenje rada Privrednog savjeta i drugih </w:t>
            </w:r>
            <w:r w:rsidRPr="002C431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lastRenderedPageBreak/>
              <w:t>mehanizama saradnje lokalne uprave sa privredom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C913F" w14:textId="77777777" w:rsidR="00D676A6" w:rsidRPr="002C431F" w:rsidRDefault="00D676A6" w:rsidP="002C431F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2C431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lastRenderedPageBreak/>
              <w:t>Članovi Savjeta i predstavnici privrede</w:t>
            </w:r>
          </w:p>
          <w:p w14:paraId="4FF560DC" w14:textId="77777777" w:rsidR="00D676A6" w:rsidRPr="002C431F" w:rsidRDefault="00D676A6" w:rsidP="002C431F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4C931D48" w14:textId="320F8B62" w:rsidR="00D676A6" w:rsidRPr="002C431F" w:rsidRDefault="00D676A6" w:rsidP="002C431F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C22C4" w14:textId="3E00B61F" w:rsidR="00D676A6" w:rsidRDefault="00D676A6" w:rsidP="002C431F">
            <w:pPr>
              <w:spacing w:after="0" w:line="240" w:lineRule="auto"/>
              <w:rPr>
                <w:rFonts w:ascii="Times New Roman" w:hAnsi="Times New Roman"/>
                <w:sz w:val="18"/>
                <w:lang w:val="bs-Latn-BA"/>
              </w:rPr>
            </w:pPr>
            <w:r w:rsidRPr="002C431F">
              <w:rPr>
                <w:rFonts w:ascii="Times New Roman" w:hAnsi="Times New Roman"/>
                <w:sz w:val="18"/>
                <w:lang w:val="bs-Latn-BA"/>
              </w:rPr>
              <w:lastRenderedPageBreak/>
              <w:t>Ojačani mehanizmi saradnje</w:t>
            </w:r>
          </w:p>
          <w:p w14:paraId="3C5787BF" w14:textId="77777777" w:rsidR="00D676A6" w:rsidRPr="002C431F" w:rsidRDefault="00D676A6" w:rsidP="002C431F">
            <w:pPr>
              <w:spacing w:after="0" w:line="240" w:lineRule="auto"/>
              <w:rPr>
                <w:rFonts w:ascii="Times New Roman" w:hAnsi="Times New Roman"/>
                <w:sz w:val="18"/>
                <w:lang w:val="bs-Latn-BA"/>
              </w:rPr>
            </w:pPr>
          </w:p>
          <w:p w14:paraId="42D7273A" w14:textId="3EFE549C" w:rsidR="00D676A6" w:rsidRPr="002C431F" w:rsidRDefault="00D676A6" w:rsidP="002C431F">
            <w:pPr>
              <w:spacing w:after="0" w:line="240" w:lineRule="auto"/>
              <w:rPr>
                <w:rFonts w:ascii="Times New Roman" w:eastAsia="Calibri" w:hAnsi="Times New Roman"/>
                <w:b/>
                <w:noProof/>
                <w:sz w:val="18"/>
                <w:lang w:val="sr-Latn-ME"/>
              </w:rPr>
            </w:pPr>
            <w:r w:rsidRPr="002C431F">
              <w:rPr>
                <w:rFonts w:ascii="Times New Roman" w:hAnsi="Times New Roman"/>
                <w:sz w:val="18"/>
                <w:lang w:val="bs-Latn-BA"/>
              </w:rPr>
              <w:t>30 uključenih</w:t>
            </w:r>
            <w:r>
              <w:rPr>
                <w:rFonts w:ascii="Times New Roman" w:hAnsi="Times New Roman"/>
                <w:sz w:val="18"/>
                <w:lang w:val="bs-Latn-BA"/>
              </w:rPr>
              <w:t xml:space="preserve"> članova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A0677" w14:textId="77777777" w:rsidR="00D676A6" w:rsidRPr="002C431F" w:rsidRDefault="00D676A6" w:rsidP="002C431F">
            <w:pPr>
              <w:rPr>
                <w:rFonts w:ascii="Times New Roman" w:hAnsi="Times New Roman"/>
                <w:sz w:val="18"/>
                <w:lang w:val="bs-Latn-BA"/>
              </w:rPr>
            </w:pPr>
            <w:r w:rsidRPr="002C431F">
              <w:rPr>
                <w:rFonts w:ascii="Times New Roman" w:hAnsi="Times New Roman"/>
                <w:sz w:val="18"/>
                <w:lang w:val="bs-Latn-BA"/>
              </w:rPr>
              <w:lastRenderedPageBreak/>
              <w:t>Opština Nikšić</w:t>
            </w:r>
          </w:p>
          <w:p w14:paraId="5146EE01" w14:textId="77777777" w:rsidR="00D676A6" w:rsidRPr="002C431F" w:rsidRDefault="00D676A6" w:rsidP="002C431F">
            <w:pPr>
              <w:rPr>
                <w:rFonts w:ascii="Times New Roman" w:hAnsi="Times New Roman"/>
                <w:sz w:val="18"/>
                <w:lang w:val="bs-Latn-BA"/>
              </w:rPr>
            </w:pPr>
            <w:r w:rsidRPr="002C431F">
              <w:rPr>
                <w:rFonts w:ascii="Times New Roman" w:hAnsi="Times New Roman"/>
                <w:sz w:val="18"/>
                <w:lang w:val="bs-Latn-BA"/>
              </w:rPr>
              <w:lastRenderedPageBreak/>
              <w:t>Lokalna privreda</w:t>
            </w:r>
          </w:p>
          <w:p w14:paraId="5308AE44" w14:textId="77777777" w:rsidR="00D676A6" w:rsidRPr="002C431F" w:rsidRDefault="00D676A6" w:rsidP="002C431F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6A28" w14:textId="42B29D63" w:rsidR="00D676A6" w:rsidRDefault="00D676A6" w:rsidP="002C431F">
            <w:pPr>
              <w:spacing w:after="0" w:line="240" w:lineRule="auto"/>
              <w:rPr>
                <w:rFonts w:ascii="Times New Roman" w:hAnsi="Times New Roman"/>
                <w:sz w:val="18"/>
                <w:lang w:val="bs-Latn-BA"/>
              </w:rPr>
            </w:pPr>
            <w:r w:rsidRPr="002C431F">
              <w:rPr>
                <w:rFonts w:ascii="Times New Roman" w:hAnsi="Times New Roman"/>
                <w:sz w:val="18"/>
                <w:lang w:val="bs-Latn-BA"/>
              </w:rPr>
              <w:lastRenderedPageBreak/>
              <w:t>Osnovan je Privredni savjet</w:t>
            </w:r>
            <w:r>
              <w:rPr>
                <w:rFonts w:ascii="Times New Roman" w:hAnsi="Times New Roman"/>
                <w:sz w:val="18"/>
                <w:lang w:val="bs-Latn-BA"/>
              </w:rPr>
              <w:t>,</w:t>
            </w:r>
            <w:r w:rsidRPr="002C431F">
              <w:rPr>
                <w:rFonts w:ascii="Times New Roman" w:hAnsi="Times New Roman"/>
                <w:sz w:val="18"/>
                <w:lang w:val="bs-Latn-BA"/>
              </w:rPr>
              <w:t xml:space="preserve"> koji ima 30 članova</w:t>
            </w:r>
          </w:p>
          <w:p w14:paraId="0F124A83" w14:textId="3B9C046C" w:rsidR="00D676A6" w:rsidRPr="002C431F" w:rsidRDefault="00D676A6" w:rsidP="002C431F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134F8" w14:textId="0E949037" w:rsidR="00D676A6" w:rsidRPr="00473A48" w:rsidRDefault="00D676A6" w:rsidP="00473A48">
            <w:pPr>
              <w:rPr>
                <w:rFonts w:ascii="Times New Roman" w:hAnsi="Times New Roman"/>
                <w:sz w:val="18"/>
                <w:lang w:val="bs-Latn-BA"/>
              </w:rPr>
            </w:pPr>
            <w:r>
              <w:rPr>
                <w:rFonts w:ascii="Times New Roman" w:hAnsi="Times New Roman"/>
                <w:sz w:val="18"/>
                <w:lang w:val="bs-Latn-BA"/>
              </w:rPr>
              <w:t>N/A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DC78" w14:textId="45440DB1" w:rsidR="00D676A6" w:rsidRPr="002C431F" w:rsidRDefault="00D676A6" w:rsidP="002C431F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2C431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Realizovano III–IV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787A29" w14:textId="760E6D2C" w:rsidR="00D676A6" w:rsidRPr="002C431F" w:rsidRDefault="00D676A6" w:rsidP="002C431F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  <w:p w14:paraId="16A2D142" w14:textId="31F09845" w:rsidR="00D676A6" w:rsidRPr="002C431F" w:rsidRDefault="00D676A6" w:rsidP="002C431F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</w:tc>
      </w:tr>
      <w:tr w:rsidR="00D676A6" w:rsidRPr="002C431F" w14:paraId="50FE060B" w14:textId="77777777" w:rsidTr="00FA7F43">
        <w:trPr>
          <w:trHeight w:val="915"/>
        </w:trPr>
        <w:tc>
          <w:tcPr>
            <w:tcW w:w="249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3E6DE7E" w14:textId="77777777" w:rsidR="00D676A6" w:rsidRPr="002C431F" w:rsidRDefault="00D676A6" w:rsidP="002C431F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AF24896" w14:textId="77777777" w:rsidR="00D676A6" w:rsidRPr="002C431F" w:rsidRDefault="00D676A6" w:rsidP="002C431F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BD780E7" w14:textId="77777777" w:rsidR="00D676A6" w:rsidRPr="002C431F" w:rsidRDefault="00D676A6" w:rsidP="002C431F">
            <w:pPr>
              <w:spacing w:after="0" w:line="240" w:lineRule="auto"/>
              <w:rPr>
                <w:rFonts w:ascii="Times New Roman" w:hAnsi="Times New Roman"/>
                <w:sz w:val="18"/>
                <w:lang w:val="bs-Latn-BA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578F2AA" w14:textId="77777777" w:rsidR="00D676A6" w:rsidRPr="002C431F" w:rsidRDefault="00D676A6" w:rsidP="002C431F">
            <w:pPr>
              <w:rPr>
                <w:rFonts w:ascii="Times New Roman" w:hAnsi="Times New Roman"/>
                <w:sz w:val="18"/>
                <w:lang w:val="bs-Latn-BA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C0227F2" w14:textId="77777777" w:rsidR="00D676A6" w:rsidRPr="002C431F" w:rsidRDefault="00D676A6" w:rsidP="00D676A6">
            <w:pPr>
              <w:pStyle w:val="Default"/>
              <w:rPr>
                <w:rFonts w:ascii="Times New Roman" w:hAnsi="Times New Roman"/>
                <w:sz w:val="18"/>
                <w:lang w:val="bs-Latn-BA"/>
              </w:rPr>
            </w:pPr>
            <w:r w:rsidRPr="002C431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Formiran je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K</w:t>
            </w:r>
            <w:r w:rsidRPr="002C431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lub mladih preduzetnika Opštine Nikšić u saradnji sa inicijativom Unije mladih preduzetnika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9C32DA0" w14:textId="2FB8A6C4" w:rsidR="00D676A6" w:rsidRDefault="00D676A6" w:rsidP="00473A48">
            <w:pPr>
              <w:rPr>
                <w:rFonts w:ascii="Times New Roman" w:hAnsi="Times New Roman"/>
                <w:sz w:val="18"/>
                <w:lang w:val="bs-Latn-BA"/>
              </w:rPr>
            </w:pPr>
            <w:r w:rsidRPr="00D676A6">
              <w:rPr>
                <w:rFonts w:ascii="Times New Roman" w:hAnsi="Times New Roman"/>
                <w:sz w:val="18"/>
                <w:lang w:val="bs-Latn-BA"/>
              </w:rPr>
              <w:t>N/A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FBA5499" w14:textId="136A8267" w:rsidR="00D676A6" w:rsidRPr="002C431F" w:rsidRDefault="00D676A6" w:rsidP="002C431F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D676A6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Realizovano III–IV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4C6CFE" w14:textId="77777777" w:rsidR="00D676A6" w:rsidRPr="002C431F" w:rsidRDefault="00D676A6" w:rsidP="002C431F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</w:tc>
      </w:tr>
    </w:tbl>
    <w:p w14:paraId="617EBD2C" w14:textId="562C1B59" w:rsidR="000C46F8" w:rsidRDefault="000C46F8">
      <w:pPr>
        <w:rPr>
          <w:lang w:val="bs-Latn-BA"/>
        </w:rPr>
      </w:pPr>
    </w:p>
    <w:tbl>
      <w:tblPr>
        <w:tblStyle w:val="Koordinatnamreatabele"/>
        <w:tblW w:w="15452" w:type="dxa"/>
        <w:tblInd w:w="-866" w:type="dxa"/>
        <w:tblLook w:val="04A0" w:firstRow="1" w:lastRow="0" w:firstColumn="1" w:lastColumn="0" w:noHBand="0" w:noVBand="1"/>
      </w:tblPr>
      <w:tblGrid>
        <w:gridCol w:w="2927"/>
        <w:gridCol w:w="1495"/>
        <w:gridCol w:w="1534"/>
        <w:gridCol w:w="1346"/>
        <w:gridCol w:w="2192"/>
        <w:gridCol w:w="1586"/>
        <w:gridCol w:w="1820"/>
        <w:gridCol w:w="2552"/>
      </w:tblGrid>
      <w:tr w:rsidR="000C46F8" w:rsidRPr="0069115E" w14:paraId="24C49DDE" w14:textId="77777777" w:rsidTr="00B71236">
        <w:tc>
          <w:tcPr>
            <w:tcW w:w="1545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</w:tcPr>
          <w:p w14:paraId="62A752B8" w14:textId="77777777" w:rsidR="000C46F8" w:rsidRPr="0069115E" w:rsidRDefault="000C46F8" w:rsidP="00A60C92">
            <w:pPr>
              <w:pStyle w:val="Default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</w:p>
          <w:p w14:paraId="481D3D47" w14:textId="58359A7A" w:rsidR="000C46F8" w:rsidRPr="0069115E" w:rsidRDefault="000C46F8" w:rsidP="00A60C9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  <w:r w:rsidRPr="0069115E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OPERATIVNI CILJ </w:t>
            </w:r>
            <w:r w:rsidR="00D8079E" w:rsidRPr="0069115E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3:</w:t>
            </w:r>
            <w:r w:rsidRPr="0069115E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 </w:t>
            </w:r>
            <w:r w:rsidR="00D8079E" w:rsidRPr="0069115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s-Latn-BA"/>
              </w:rPr>
              <w:t>Jačanje preduzetništva i kreiranje novih radnih mjesta</w:t>
            </w:r>
          </w:p>
        </w:tc>
      </w:tr>
      <w:tr w:rsidR="00756E9F" w:rsidRPr="0069115E" w14:paraId="3DD23196" w14:textId="77777777" w:rsidTr="00756E9F">
        <w:tc>
          <w:tcPr>
            <w:tcW w:w="2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</w:tcPr>
          <w:p w14:paraId="1DD8650B" w14:textId="77777777" w:rsidR="00756E9F" w:rsidRPr="0069115E" w:rsidRDefault="00756E9F" w:rsidP="00A6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  <w:r w:rsidRPr="0069115E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 Mjera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</w:tcPr>
          <w:p w14:paraId="11A918DC" w14:textId="77777777" w:rsidR="00756E9F" w:rsidRPr="0069115E" w:rsidRDefault="00756E9F" w:rsidP="00A6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  <w:r w:rsidRPr="0069115E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Ciljna grupa</w:t>
            </w:r>
          </w:p>
        </w:tc>
        <w:tc>
          <w:tcPr>
            <w:tcW w:w="1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</w:tcPr>
          <w:p w14:paraId="1F2B7CCD" w14:textId="77777777" w:rsidR="00756E9F" w:rsidRPr="0069115E" w:rsidRDefault="00756E9F" w:rsidP="00A60C9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iCs/>
                <w:noProof/>
                <w:sz w:val="18"/>
                <w:lang w:val="sr-Latn-ME"/>
              </w:rPr>
            </w:pPr>
            <w:r w:rsidRPr="0069115E">
              <w:rPr>
                <w:rFonts w:ascii="Times New Roman" w:eastAsia="Calibri" w:hAnsi="Times New Roman"/>
                <w:b/>
                <w:noProof/>
                <w:sz w:val="18"/>
                <w:lang w:val="sr-Latn-ME"/>
              </w:rPr>
              <w:t>Očekivani rezultat i planiran broj uključenih</w:t>
            </w:r>
          </w:p>
          <w:p w14:paraId="625F85E2" w14:textId="77777777" w:rsidR="00756E9F" w:rsidRPr="0069115E" w:rsidRDefault="00756E9F" w:rsidP="00A6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</w:tcPr>
          <w:p w14:paraId="05A01EE6" w14:textId="25C3DEB3" w:rsidR="00756E9F" w:rsidRPr="0069115E" w:rsidRDefault="00756E9F" w:rsidP="00A6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  <w:proofErr w:type="spellStart"/>
            <w:r w:rsidRPr="0069115E">
              <w:rPr>
                <w:rFonts w:ascii="Times New Roman" w:hAnsi="Times New Roman" w:cs="Times New Roman"/>
                <w:b/>
                <w:sz w:val="18"/>
                <w:szCs w:val="18"/>
              </w:rPr>
              <w:t>Odgovornost</w:t>
            </w:r>
            <w:proofErr w:type="spellEnd"/>
            <w:r w:rsidRPr="006911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 </w:t>
            </w:r>
            <w:proofErr w:type="spellStart"/>
            <w:r w:rsidRPr="0069115E">
              <w:rPr>
                <w:rFonts w:ascii="Times New Roman" w:hAnsi="Times New Roman" w:cs="Times New Roman"/>
                <w:b/>
                <w:sz w:val="18"/>
                <w:szCs w:val="18"/>
              </w:rPr>
              <w:t>realizaciju</w:t>
            </w:r>
            <w:proofErr w:type="spellEnd"/>
          </w:p>
        </w:tc>
        <w:tc>
          <w:tcPr>
            <w:tcW w:w="2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</w:tcPr>
          <w:p w14:paraId="6ACE1154" w14:textId="77777777" w:rsidR="00756E9F" w:rsidRPr="0069115E" w:rsidRDefault="00756E9F" w:rsidP="00A6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  <w:r w:rsidRPr="0069115E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Rezultat /</w:t>
            </w:r>
            <w:r w:rsidRPr="0069115E"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  <w:lang w:val="sr-Latn-ME"/>
              </w:rPr>
              <w:t xml:space="preserve"> postignute vrijednosti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</w:tcPr>
          <w:p w14:paraId="7E7BB10F" w14:textId="77777777" w:rsidR="00756E9F" w:rsidRPr="0069115E" w:rsidRDefault="00756E9F" w:rsidP="00A6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  <w:r w:rsidRPr="0069115E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Izvor finansiranja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</w:tcPr>
          <w:p w14:paraId="6050D162" w14:textId="19DE5763" w:rsidR="00756E9F" w:rsidRPr="00244E89" w:rsidRDefault="00756E9F" w:rsidP="00244E8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69115E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Status realizacije</w:t>
            </w:r>
            <w:r w:rsidR="00244E89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 xml:space="preserve"> </w:t>
            </w:r>
            <w:r w:rsidRPr="0069115E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/</w:t>
            </w:r>
            <w:r w:rsidR="00244E89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 xml:space="preserve"> </w:t>
            </w:r>
            <w:r w:rsidRPr="0069115E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 xml:space="preserve">vremenski period 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</w:tcPr>
          <w:p w14:paraId="448BAF55" w14:textId="650003D3" w:rsidR="00756E9F" w:rsidRPr="0069115E" w:rsidRDefault="00756E9F" w:rsidP="00A6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  <w:r w:rsidRPr="0069115E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Napomene</w:t>
            </w:r>
          </w:p>
        </w:tc>
      </w:tr>
      <w:tr w:rsidR="00756E9F" w:rsidRPr="0069115E" w14:paraId="11D4511C" w14:textId="77777777" w:rsidTr="00756E9F">
        <w:tc>
          <w:tcPr>
            <w:tcW w:w="29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1BF0" w14:textId="4BE4044E" w:rsidR="00756E9F" w:rsidRPr="0069115E" w:rsidRDefault="00756E9F" w:rsidP="001D31A7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69115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3.1. Podrška samozapošljavanju – bespovratna sredstva za samozapošljavanje – ZZZCG i IPA fondovi </w:t>
            </w:r>
          </w:p>
        </w:tc>
        <w:tc>
          <w:tcPr>
            <w:tcW w:w="14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94DC" w14:textId="6643357E" w:rsidR="00756E9F" w:rsidRPr="0069115E" w:rsidRDefault="00756E9F" w:rsidP="001D31A7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69115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Nezaposlena lica prijavljena na evidenciji ZZZCG – </w:t>
            </w:r>
            <w:r w:rsidR="00473A4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PJ</w:t>
            </w:r>
            <w:r w:rsidRPr="0069115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Nikšić</w:t>
            </w:r>
          </w:p>
        </w:tc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5B7E" w14:textId="77777777" w:rsidR="00756E9F" w:rsidRPr="0069115E" w:rsidRDefault="00756E9F" w:rsidP="001D31A7">
            <w:pPr>
              <w:rPr>
                <w:rFonts w:ascii="Times New Roman" w:hAnsi="Times New Roman"/>
                <w:sz w:val="18"/>
                <w:lang w:val="bs-Latn-BA"/>
              </w:rPr>
            </w:pPr>
            <w:r w:rsidRPr="0069115E">
              <w:rPr>
                <w:rFonts w:ascii="Times New Roman" w:hAnsi="Times New Roman"/>
                <w:sz w:val="18"/>
                <w:lang w:val="bs-Latn-BA"/>
              </w:rPr>
              <w:t>Najmanje 90 osoba pohađalo informaciono-motivacione radionice</w:t>
            </w:r>
          </w:p>
          <w:p w14:paraId="18D4B17D" w14:textId="4488B3C2" w:rsidR="00756E9F" w:rsidRPr="0069115E" w:rsidRDefault="00756E9F" w:rsidP="001D31A7">
            <w:pPr>
              <w:spacing w:after="0" w:line="240" w:lineRule="auto"/>
              <w:rPr>
                <w:rFonts w:ascii="Times New Roman" w:eastAsia="Calibri" w:hAnsi="Times New Roman"/>
                <w:b/>
                <w:noProof/>
                <w:sz w:val="18"/>
                <w:lang w:val="sr-Latn-ME"/>
              </w:rPr>
            </w:pPr>
            <w:r w:rsidRPr="0069115E">
              <w:rPr>
                <w:rFonts w:ascii="Times New Roman" w:hAnsi="Times New Roman"/>
                <w:sz w:val="18"/>
                <w:lang w:val="bs-Latn-BA"/>
              </w:rPr>
              <w:t>Najmanje 14 nezaposlenih osoba samozaposleno</w:t>
            </w:r>
          </w:p>
        </w:tc>
        <w:tc>
          <w:tcPr>
            <w:tcW w:w="13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8B48" w14:textId="77777777" w:rsidR="00756E9F" w:rsidRPr="0069115E" w:rsidRDefault="00756E9F" w:rsidP="00D8079E">
            <w:pPr>
              <w:rPr>
                <w:rFonts w:ascii="Times New Roman" w:hAnsi="Times New Roman"/>
                <w:sz w:val="18"/>
                <w:lang w:val="bs-Latn-BA"/>
              </w:rPr>
            </w:pPr>
            <w:r w:rsidRPr="0069115E">
              <w:rPr>
                <w:rFonts w:ascii="Times New Roman" w:hAnsi="Times New Roman"/>
                <w:sz w:val="18"/>
                <w:lang w:val="bs-Latn-BA"/>
              </w:rPr>
              <w:t xml:space="preserve">ZZZCG </w:t>
            </w:r>
          </w:p>
          <w:p w14:paraId="32A9BBBD" w14:textId="77777777" w:rsidR="00756E9F" w:rsidRPr="0069115E" w:rsidRDefault="00756E9F" w:rsidP="00D8079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7345E" w14:textId="77777777" w:rsidR="00756E9F" w:rsidRPr="0069115E" w:rsidRDefault="00756E9F" w:rsidP="0069115E">
            <w:pPr>
              <w:rPr>
                <w:rFonts w:ascii="Times New Roman" w:hAnsi="Times New Roman"/>
                <w:sz w:val="18"/>
                <w:lang w:val="bs-Latn-BA"/>
              </w:rPr>
            </w:pPr>
            <w:r w:rsidRPr="0069115E">
              <w:rPr>
                <w:rFonts w:ascii="Times New Roman" w:hAnsi="Times New Roman"/>
                <w:sz w:val="18"/>
                <w:lang w:val="bs-Latn-BA"/>
              </w:rPr>
              <w:t>50 osoba je prošlo radionice koje je organizovao ZZZCG</w:t>
            </w:r>
          </w:p>
          <w:p w14:paraId="34940565" w14:textId="0AC717AB" w:rsidR="00756E9F" w:rsidRPr="0069115E" w:rsidRDefault="00756E9F" w:rsidP="0069115E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244E89">
              <w:rPr>
                <w:rFonts w:ascii="Times New Roman" w:hAnsi="Times New Roman" w:cs="Times New Roman"/>
                <w:spacing w:val="-2"/>
                <w:sz w:val="18"/>
                <w:szCs w:val="18"/>
                <w:lang w:val="bs-Latn-BA"/>
              </w:rPr>
              <w:t>Broj samozaposlenih: 5 +</w:t>
            </w:r>
            <w:r w:rsidR="00244E89" w:rsidRPr="00244E89">
              <w:rPr>
                <w:rFonts w:ascii="Times New Roman" w:hAnsi="Times New Roman" w:cs="Times New Roman"/>
                <w:spacing w:val="-2"/>
                <w:sz w:val="18"/>
                <w:szCs w:val="18"/>
                <w:lang w:val="bs-Latn-BA"/>
              </w:rPr>
              <w:t xml:space="preserve"> </w:t>
            </w:r>
            <w:r w:rsidRPr="00244E89">
              <w:rPr>
                <w:rFonts w:ascii="Times New Roman" w:hAnsi="Times New Roman" w:cs="Times New Roman"/>
                <w:spacing w:val="-2"/>
                <w:sz w:val="18"/>
                <w:szCs w:val="18"/>
                <w:lang w:val="bs-Latn-BA"/>
              </w:rPr>
              <w:t>6</w:t>
            </w:r>
            <w:r w:rsidRPr="0069115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lica koja će se zaposliti ko</w:t>
            </w:r>
            <w:r w:rsidR="00244E8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</w:t>
            </w:r>
            <w:r w:rsidRPr="0069115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korisnika granta</w:t>
            </w:r>
          </w:p>
        </w:tc>
        <w:tc>
          <w:tcPr>
            <w:tcW w:w="15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D553" w14:textId="38D5F308" w:rsidR="00756E9F" w:rsidRPr="00125828" w:rsidRDefault="00125828" w:rsidP="0069115E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 w:rsidRPr="00125828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ZZZCG</w:t>
            </w:r>
          </w:p>
        </w:tc>
        <w:tc>
          <w:tcPr>
            <w:tcW w:w="1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9EA0" w14:textId="1F1430C9" w:rsidR="00756E9F" w:rsidRPr="00E25E10" w:rsidRDefault="00756E9F" w:rsidP="00244E89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9115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Realizovano I–IV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571542" w14:textId="593A703C" w:rsidR="00756E9F" w:rsidRPr="0069115E" w:rsidRDefault="00756E9F" w:rsidP="00D8079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  <w:p w14:paraId="30F71458" w14:textId="4175A4A7" w:rsidR="00756E9F" w:rsidRPr="0069115E" w:rsidRDefault="00756E9F" w:rsidP="00756E9F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</w:tc>
      </w:tr>
      <w:tr w:rsidR="00D676A6" w:rsidRPr="0069115E" w14:paraId="51FAAACE" w14:textId="77777777" w:rsidTr="00EF2BAE">
        <w:trPr>
          <w:trHeight w:val="1065"/>
        </w:trPr>
        <w:tc>
          <w:tcPr>
            <w:tcW w:w="292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FCEAEBB" w14:textId="77777777" w:rsidR="00D676A6" w:rsidRPr="0069115E" w:rsidRDefault="00D676A6" w:rsidP="0069115E">
            <w:pPr>
              <w:rPr>
                <w:rFonts w:ascii="Times New Roman" w:hAnsi="Times New Roman"/>
                <w:sz w:val="18"/>
                <w:lang w:val="bs-Latn-BA"/>
              </w:rPr>
            </w:pPr>
            <w:r w:rsidRPr="0069115E">
              <w:rPr>
                <w:rFonts w:ascii="Times New Roman" w:hAnsi="Times New Roman"/>
                <w:sz w:val="18"/>
                <w:lang w:val="bs-Latn-BA"/>
              </w:rPr>
              <w:t>3.2. Podrška razvoju preduzetništva</w:t>
            </w:r>
          </w:p>
          <w:p w14:paraId="19384A2F" w14:textId="77777777" w:rsidR="00D676A6" w:rsidRPr="0069115E" w:rsidRDefault="00D676A6" w:rsidP="006911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2AA98" w14:textId="4712231C" w:rsidR="00D676A6" w:rsidRPr="0069115E" w:rsidRDefault="00D676A6" w:rsidP="0069115E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69115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Nezaposleni, preduzetnici koji žele da prošire i unaprijede postojeće poslovanje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74190" w14:textId="637D6D0E" w:rsidR="00D676A6" w:rsidRPr="0069115E" w:rsidRDefault="00D676A6" w:rsidP="0069115E">
            <w:pPr>
              <w:spacing w:after="0" w:line="240" w:lineRule="auto"/>
              <w:rPr>
                <w:rFonts w:ascii="Times New Roman" w:eastAsia="Calibri" w:hAnsi="Times New Roman"/>
                <w:b/>
                <w:noProof/>
                <w:sz w:val="18"/>
                <w:lang w:val="sr-Latn-ME"/>
              </w:rPr>
            </w:pPr>
            <w:r w:rsidRPr="0069115E">
              <w:rPr>
                <w:rFonts w:ascii="Times New Roman" w:hAnsi="Times New Roman"/>
                <w:sz w:val="18"/>
                <w:lang w:val="bs-Latn-BA"/>
              </w:rPr>
              <w:t>Najmanje 10 preduzetnika učestvovalo u programima podrške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B21EE" w14:textId="3F6F2F02" w:rsidR="00D676A6" w:rsidRPr="00E41F6D" w:rsidRDefault="00E41F6D" w:rsidP="0069115E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1F6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IPC </w:t>
            </w:r>
            <w:proofErr w:type="spellStart"/>
            <w:r w:rsidRPr="00E41F6D">
              <w:rPr>
                <w:rFonts w:ascii="Times New Roman" w:hAnsi="Times New Roman" w:cs="Times New Roman"/>
                <w:bCs/>
                <w:sz w:val="18"/>
                <w:szCs w:val="18"/>
              </w:rPr>
              <w:t>Tehnopolis</w:t>
            </w:r>
            <w:proofErr w:type="spellEnd"/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708A" w14:textId="77777777" w:rsidR="00D676A6" w:rsidRPr="0069115E" w:rsidRDefault="00D676A6" w:rsidP="0069115E">
            <w:pPr>
              <w:rPr>
                <w:rFonts w:ascii="Times New Roman" w:hAnsi="Times New Roman"/>
                <w:sz w:val="18"/>
                <w:lang w:val="bs-Latn-BA"/>
              </w:rPr>
            </w:pPr>
            <w:r w:rsidRPr="0069115E">
              <w:rPr>
                <w:rFonts w:ascii="Times New Roman" w:hAnsi="Times New Roman"/>
                <w:sz w:val="18"/>
                <w:lang w:val="bs-Latn-BA"/>
              </w:rPr>
              <w:t>U okviru programa BoostMeUp IPC Tehnopolis je pružio podršku za 6 preduzetnika</w:t>
            </w:r>
          </w:p>
          <w:p w14:paraId="2B51819A" w14:textId="529CEF0C" w:rsidR="00D676A6" w:rsidRPr="0069115E" w:rsidRDefault="00D676A6" w:rsidP="0069115E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C2E9" w14:textId="77777777" w:rsidR="00D676A6" w:rsidRPr="0069115E" w:rsidRDefault="00D676A6" w:rsidP="0069115E">
            <w:pPr>
              <w:rPr>
                <w:rFonts w:ascii="Times New Roman" w:hAnsi="Times New Roman"/>
                <w:sz w:val="18"/>
              </w:rPr>
            </w:pPr>
            <w:proofErr w:type="spellStart"/>
            <w:r w:rsidRPr="0069115E">
              <w:rPr>
                <w:rFonts w:ascii="Times New Roman" w:hAnsi="Times New Roman"/>
                <w:sz w:val="18"/>
              </w:rPr>
              <w:t>Međunarodni</w:t>
            </w:r>
            <w:proofErr w:type="spellEnd"/>
            <w:r w:rsidRPr="0069115E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69115E">
              <w:rPr>
                <w:rFonts w:ascii="Times New Roman" w:hAnsi="Times New Roman"/>
                <w:sz w:val="18"/>
              </w:rPr>
              <w:t>fondovi</w:t>
            </w:r>
            <w:proofErr w:type="spellEnd"/>
          </w:p>
          <w:p w14:paraId="00031AF8" w14:textId="77777777" w:rsidR="00D676A6" w:rsidRDefault="00D676A6" w:rsidP="0069115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115E">
              <w:rPr>
                <w:rFonts w:ascii="Times New Roman" w:hAnsi="Times New Roman" w:cs="Times New Roman"/>
                <w:sz w:val="18"/>
                <w:szCs w:val="18"/>
              </w:rPr>
              <w:t>Nadležna</w:t>
            </w:r>
            <w:proofErr w:type="spellEnd"/>
            <w:r w:rsidRPr="006911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115E">
              <w:rPr>
                <w:rFonts w:ascii="Times New Roman" w:hAnsi="Times New Roman" w:cs="Times New Roman"/>
                <w:sz w:val="18"/>
                <w:szCs w:val="18"/>
              </w:rPr>
              <w:t>ministarstva</w:t>
            </w:r>
            <w:proofErr w:type="spellEnd"/>
          </w:p>
          <w:p w14:paraId="70E5B820" w14:textId="59F0EC0E" w:rsidR="00D676A6" w:rsidRPr="00095736" w:rsidRDefault="00D676A6" w:rsidP="0069115E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92E5" w14:textId="40051129" w:rsidR="00D676A6" w:rsidRPr="00E25E10" w:rsidRDefault="00D676A6" w:rsidP="00244E89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9115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Realizovano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69115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I–IV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B8B16E8" w14:textId="0EB4999C" w:rsidR="00D676A6" w:rsidRPr="0069115E" w:rsidRDefault="00D676A6" w:rsidP="006911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</w:tc>
      </w:tr>
      <w:tr w:rsidR="00D676A6" w:rsidRPr="0069115E" w14:paraId="1A288345" w14:textId="77777777" w:rsidTr="00EF2BAE">
        <w:trPr>
          <w:trHeight w:val="600"/>
        </w:trPr>
        <w:tc>
          <w:tcPr>
            <w:tcW w:w="292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E52E" w14:textId="77777777" w:rsidR="00D676A6" w:rsidRPr="0069115E" w:rsidRDefault="00D676A6" w:rsidP="0069115E">
            <w:pPr>
              <w:rPr>
                <w:rFonts w:ascii="Times New Roman" w:hAnsi="Times New Roman"/>
                <w:sz w:val="18"/>
                <w:lang w:val="bs-Latn-BA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3CC2F" w14:textId="77777777" w:rsidR="00D676A6" w:rsidRPr="0069115E" w:rsidRDefault="00D676A6" w:rsidP="006911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02F0" w14:textId="77777777" w:rsidR="00D676A6" w:rsidRPr="0069115E" w:rsidRDefault="00D676A6" w:rsidP="0069115E">
            <w:pPr>
              <w:spacing w:after="0" w:line="240" w:lineRule="auto"/>
              <w:rPr>
                <w:rFonts w:ascii="Times New Roman" w:hAnsi="Times New Roman"/>
                <w:sz w:val="18"/>
                <w:lang w:val="bs-Latn-BA"/>
              </w:rPr>
            </w:pP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DE053" w14:textId="77777777" w:rsidR="00E41F6D" w:rsidRPr="0069115E" w:rsidRDefault="00E41F6D" w:rsidP="00E41F6D">
            <w:pPr>
              <w:rPr>
                <w:rFonts w:ascii="Times New Roman" w:hAnsi="Times New Roman"/>
                <w:sz w:val="18"/>
                <w:lang w:val="bs-Latn-BA"/>
              </w:rPr>
            </w:pPr>
            <w:r w:rsidRPr="0069115E">
              <w:rPr>
                <w:rFonts w:ascii="Times New Roman" w:hAnsi="Times New Roman"/>
                <w:sz w:val="18"/>
                <w:lang w:val="bs-Latn-BA"/>
              </w:rPr>
              <w:t xml:space="preserve">Opština Nikšić </w:t>
            </w:r>
          </w:p>
          <w:p w14:paraId="5A067F30" w14:textId="77777777" w:rsidR="00D676A6" w:rsidRPr="0069115E" w:rsidRDefault="00D676A6" w:rsidP="0069115E">
            <w:pPr>
              <w:rPr>
                <w:rFonts w:ascii="Times New Roman" w:hAnsi="Times New Roman"/>
                <w:sz w:val="18"/>
                <w:lang w:val="bs-Latn-BA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31A6" w14:textId="29FF2939" w:rsidR="00D676A6" w:rsidRPr="0069115E" w:rsidRDefault="00D676A6" w:rsidP="00D676A6">
            <w:pPr>
              <w:pStyle w:val="Default"/>
              <w:rPr>
                <w:rFonts w:ascii="Times New Roman" w:hAnsi="Times New Roman"/>
                <w:sz w:val="18"/>
                <w:lang w:val="bs-Latn-BA"/>
              </w:rPr>
            </w:pPr>
            <w:r w:rsidRPr="0069115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Opština Nikšić je podržala </w:t>
            </w:r>
            <w:r w:rsidR="00F6412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5</w:t>
            </w:r>
            <w:r w:rsidRPr="0069115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preduz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etnic</w:t>
            </w:r>
            <w:r w:rsidR="00F6412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F85A6" w14:textId="77777777" w:rsidR="00D676A6" w:rsidRPr="0069115E" w:rsidRDefault="00D676A6" w:rsidP="00D676A6">
            <w:pPr>
              <w:pStyle w:val="Defaul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Budžet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95736">
              <w:rPr>
                <w:rFonts w:ascii="Times New Roman" w:hAnsi="Times New Roman" w:cs="Times New Roman"/>
                <w:bCs/>
                <w:sz w:val="18"/>
                <w:szCs w:val="18"/>
              </w:rPr>
              <w:t>Opštin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</w:t>
            </w:r>
            <w:proofErr w:type="spellEnd"/>
            <w:r w:rsidRPr="000957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95736">
              <w:rPr>
                <w:rFonts w:ascii="Times New Roman" w:hAnsi="Times New Roman" w:cs="Times New Roman"/>
                <w:bCs/>
                <w:sz w:val="18"/>
                <w:szCs w:val="18"/>
              </w:rPr>
              <w:t>Nikšić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6EAB4" w14:textId="00A5FA00" w:rsidR="00D676A6" w:rsidRPr="0069115E" w:rsidRDefault="00D676A6" w:rsidP="00244E89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D676A6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Realizovano I–IV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6B6B41D" w14:textId="1E2EDE4C" w:rsidR="00D676A6" w:rsidRPr="00F6412D" w:rsidRDefault="00F6412D" w:rsidP="00F6412D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 w:rsidRPr="00F6412D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 xml:space="preserve">Od ukupnog budžeta za podršku ženskom preduzetništvu, za 5 preduzetnica je opredijeljeno ukupno 9.050,00 </w:t>
            </w:r>
            <w:r w:rsidR="00F01D52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€</w:t>
            </w:r>
          </w:p>
        </w:tc>
      </w:tr>
      <w:tr w:rsidR="00E41F6D" w:rsidRPr="0069115E" w14:paraId="67D38999" w14:textId="77777777" w:rsidTr="00F01D52">
        <w:trPr>
          <w:trHeight w:val="525"/>
        </w:trPr>
        <w:tc>
          <w:tcPr>
            <w:tcW w:w="292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D49B789" w14:textId="77777777" w:rsidR="00E41F6D" w:rsidRPr="0069115E" w:rsidRDefault="00E41F6D" w:rsidP="0069115E">
            <w:pPr>
              <w:spacing w:after="0"/>
              <w:rPr>
                <w:rFonts w:ascii="Times New Roman" w:hAnsi="Times New Roman"/>
                <w:sz w:val="18"/>
                <w:lang w:val="bs-Latn-BA"/>
              </w:rPr>
            </w:pPr>
            <w:r w:rsidRPr="0069115E">
              <w:rPr>
                <w:rFonts w:ascii="Times New Roman" w:hAnsi="Times New Roman"/>
                <w:sz w:val="18"/>
                <w:lang w:val="bs-Latn-BA"/>
              </w:rPr>
              <w:t xml:space="preserve">3.3. Nefinansijske mjere podrške razvoju preduzetništva </w:t>
            </w:r>
          </w:p>
          <w:p w14:paraId="187789AA" w14:textId="2012CE60" w:rsidR="00E41F6D" w:rsidRPr="0069115E" w:rsidRDefault="00E41F6D" w:rsidP="0069115E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69115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(savjetodavna i mentorska podrška za početnike u biznisu, pomoć pri izradi biznis planova, ustupanje prostora, računovodstava i sl.)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8F6A8" w14:textId="0C83F6EB" w:rsidR="00E41F6D" w:rsidRPr="0069115E" w:rsidRDefault="00E41F6D" w:rsidP="0069115E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69115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Preduzetnici i početnici u biznisu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B51D6" w14:textId="3AF71934" w:rsidR="00E41F6D" w:rsidRPr="0069115E" w:rsidRDefault="00E41F6D" w:rsidP="0069115E">
            <w:pPr>
              <w:spacing w:after="0" w:line="240" w:lineRule="auto"/>
              <w:rPr>
                <w:rFonts w:ascii="Times New Roman" w:eastAsia="Calibri" w:hAnsi="Times New Roman"/>
                <w:b/>
                <w:noProof/>
                <w:sz w:val="18"/>
                <w:lang w:val="sr-Latn-ME"/>
              </w:rPr>
            </w:pPr>
            <w:r w:rsidRPr="0069115E">
              <w:rPr>
                <w:rFonts w:ascii="Times New Roman" w:hAnsi="Times New Roman"/>
                <w:sz w:val="18"/>
                <w:lang w:val="bs-Latn-BA"/>
              </w:rPr>
              <w:t>Najmanje 100 preduzetnika dobilo podršku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7188" w14:textId="4651B456" w:rsidR="00E41F6D" w:rsidRPr="0069115E" w:rsidRDefault="00E41F6D" w:rsidP="0069115E">
            <w:pPr>
              <w:rPr>
                <w:rFonts w:ascii="Times New Roman" w:hAnsi="Times New Roman"/>
                <w:b/>
                <w:sz w:val="18"/>
              </w:rPr>
            </w:pPr>
            <w:r w:rsidRPr="0069115E">
              <w:rPr>
                <w:rFonts w:ascii="Times New Roman" w:hAnsi="Times New Roman"/>
                <w:sz w:val="18"/>
                <w:lang w:val="bs-Latn-BA"/>
              </w:rPr>
              <w:t xml:space="preserve">Druge institucije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52BC" w14:textId="180AAB78" w:rsidR="00E41F6D" w:rsidRPr="0069115E" w:rsidRDefault="00E41F6D" w:rsidP="0069115E">
            <w:pPr>
              <w:rPr>
                <w:rFonts w:ascii="Times New Roman" w:hAnsi="Times New Roman"/>
                <w:sz w:val="18"/>
                <w:lang w:val="bs-Latn-BA"/>
              </w:rPr>
            </w:pPr>
            <w:r w:rsidRPr="0069115E">
              <w:rPr>
                <w:rFonts w:ascii="Times New Roman" w:hAnsi="Times New Roman"/>
                <w:sz w:val="18"/>
                <w:lang w:val="bs-Latn-BA"/>
              </w:rPr>
              <w:t>IPC Tehnopolis je podržao 53 početnika u biznisu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9D888" w14:textId="3966A29F" w:rsidR="00E41F6D" w:rsidRPr="0069115E" w:rsidRDefault="00E41F6D" w:rsidP="00E25E10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 w:rsidRPr="0069115E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N/A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91E6" w14:textId="1D7034E1" w:rsidR="00E41F6D" w:rsidRPr="00E25E10" w:rsidRDefault="00E41F6D" w:rsidP="00244E89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9115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Realizovano I–IV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5B5BAFE" w14:textId="5261D852" w:rsidR="00E41F6D" w:rsidRPr="0069115E" w:rsidRDefault="00E41F6D" w:rsidP="006911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</w:tc>
      </w:tr>
      <w:tr w:rsidR="00F01D52" w:rsidRPr="0069115E" w14:paraId="7B4CEAE9" w14:textId="77777777" w:rsidTr="008D02D6">
        <w:trPr>
          <w:trHeight w:val="1578"/>
        </w:trPr>
        <w:tc>
          <w:tcPr>
            <w:tcW w:w="2927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390A074" w14:textId="77777777" w:rsidR="00F01D52" w:rsidRPr="0069115E" w:rsidRDefault="00F01D52" w:rsidP="0069115E">
            <w:pPr>
              <w:spacing w:after="0"/>
              <w:rPr>
                <w:rFonts w:ascii="Times New Roman" w:hAnsi="Times New Roman"/>
                <w:sz w:val="18"/>
                <w:lang w:val="bs-Latn-BA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84E6B" w14:textId="77777777" w:rsidR="00F01D52" w:rsidRPr="0069115E" w:rsidRDefault="00F01D52" w:rsidP="006911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53543" w14:textId="77777777" w:rsidR="00F01D52" w:rsidRPr="0069115E" w:rsidRDefault="00F01D52" w:rsidP="0069115E">
            <w:pPr>
              <w:spacing w:after="0" w:line="240" w:lineRule="auto"/>
              <w:rPr>
                <w:rFonts w:ascii="Times New Roman" w:hAnsi="Times New Roman"/>
                <w:sz w:val="18"/>
                <w:lang w:val="bs-Latn-B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35BC" w14:textId="076EA442" w:rsidR="00F01D52" w:rsidRPr="0069115E" w:rsidRDefault="00F01D52" w:rsidP="00F01D52">
            <w:pPr>
              <w:pStyle w:val="Default"/>
              <w:rPr>
                <w:rFonts w:ascii="Times New Roman" w:hAnsi="Times New Roman"/>
                <w:sz w:val="18"/>
                <w:lang w:val="bs-Latn-BA"/>
              </w:rPr>
            </w:pPr>
            <w:r w:rsidRPr="0069115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NVO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Biznis centar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F6ACE" w14:textId="77777777" w:rsidR="00F01D52" w:rsidRPr="0069115E" w:rsidRDefault="00F01D52" w:rsidP="00F01D52">
            <w:pPr>
              <w:rPr>
                <w:rFonts w:ascii="Times New Roman" w:hAnsi="Times New Roman"/>
                <w:sz w:val="18"/>
                <w:lang w:val="bs-Latn-BA"/>
              </w:rPr>
            </w:pPr>
            <w:r w:rsidRPr="0069115E">
              <w:rPr>
                <w:rFonts w:ascii="Times New Roman" w:hAnsi="Times New Roman"/>
                <w:sz w:val="18"/>
                <w:lang w:val="bs-Latn-BA"/>
              </w:rPr>
              <w:t>NVO Biznis centar je organizovala mentorsku podrška za 7 mladih koji su učestvovali u programu mentorstva za mlade preduzetnike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11DD4" w14:textId="1AADE98F" w:rsidR="00F01D52" w:rsidRPr="0069115E" w:rsidRDefault="00F01D52" w:rsidP="00E25E10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 w:rsidRPr="00F01D52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NVO Biznis centar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22250" w14:textId="34977796" w:rsidR="00F01D52" w:rsidRPr="0069115E" w:rsidRDefault="00F01D52" w:rsidP="00244E89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01D5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Realizovano I–IV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7B17CD" w14:textId="77777777" w:rsidR="00F01D52" w:rsidRPr="0069115E" w:rsidRDefault="00F01D52" w:rsidP="006911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</w:tc>
      </w:tr>
      <w:tr w:rsidR="00E41F6D" w:rsidRPr="0069115E" w14:paraId="56985128" w14:textId="77777777" w:rsidTr="008D02D6">
        <w:trPr>
          <w:trHeight w:val="2250"/>
        </w:trPr>
        <w:tc>
          <w:tcPr>
            <w:tcW w:w="292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D8E9" w14:textId="77777777" w:rsidR="00E41F6D" w:rsidRPr="0069115E" w:rsidRDefault="00E41F6D" w:rsidP="0069115E">
            <w:pPr>
              <w:spacing w:after="0"/>
              <w:rPr>
                <w:rFonts w:ascii="Times New Roman" w:hAnsi="Times New Roman"/>
                <w:sz w:val="18"/>
                <w:lang w:val="bs-Latn-BA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2734" w14:textId="77777777" w:rsidR="00E41F6D" w:rsidRPr="0069115E" w:rsidRDefault="00E41F6D" w:rsidP="006911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D773" w14:textId="77777777" w:rsidR="00E41F6D" w:rsidRPr="0069115E" w:rsidRDefault="00E41F6D" w:rsidP="0069115E">
            <w:pPr>
              <w:spacing w:after="0" w:line="240" w:lineRule="auto"/>
              <w:rPr>
                <w:rFonts w:ascii="Times New Roman" w:hAnsi="Times New Roman"/>
                <w:sz w:val="18"/>
                <w:lang w:val="bs-Latn-B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396F" w14:textId="77777777" w:rsidR="00E41F6D" w:rsidRPr="0069115E" w:rsidRDefault="00E41F6D" w:rsidP="00E41F6D">
            <w:pPr>
              <w:rPr>
                <w:rFonts w:ascii="Times New Roman" w:hAnsi="Times New Roman"/>
                <w:sz w:val="18"/>
                <w:lang w:val="bs-Latn-BA"/>
              </w:rPr>
            </w:pPr>
            <w:r w:rsidRPr="0069115E">
              <w:rPr>
                <w:rFonts w:ascii="Times New Roman" w:hAnsi="Times New Roman"/>
                <w:sz w:val="18"/>
                <w:lang w:val="bs-Latn-BA"/>
              </w:rPr>
              <w:t xml:space="preserve">Opština Nikšić </w:t>
            </w:r>
          </w:p>
          <w:p w14:paraId="4FE51D49" w14:textId="77777777" w:rsidR="00E41F6D" w:rsidRPr="0069115E" w:rsidRDefault="00E41F6D" w:rsidP="0069115E">
            <w:pPr>
              <w:pStyle w:val="Default"/>
              <w:rPr>
                <w:rFonts w:ascii="Times New Roman" w:hAnsi="Times New Roman"/>
                <w:sz w:val="18"/>
                <w:lang w:val="bs-Latn-BA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15070" w14:textId="77777777" w:rsidR="00E41F6D" w:rsidRPr="0069115E" w:rsidRDefault="00E41F6D" w:rsidP="00E41F6D">
            <w:pPr>
              <w:rPr>
                <w:rFonts w:ascii="Times New Roman" w:hAnsi="Times New Roman"/>
                <w:sz w:val="18"/>
                <w:lang w:val="bs-Latn-BA"/>
              </w:rPr>
            </w:pPr>
            <w:r w:rsidRPr="0069115E">
              <w:rPr>
                <w:rFonts w:ascii="Times New Roman" w:hAnsi="Times New Roman"/>
                <w:sz w:val="18"/>
                <w:lang w:val="bs-Latn-BA"/>
              </w:rPr>
              <w:t>Odjeljenje za regionalni razvoj i preduzetništvo i upravno</w:t>
            </w:r>
            <w:r>
              <w:rPr>
                <w:rFonts w:ascii="Times New Roman" w:hAnsi="Times New Roman"/>
                <w:sz w:val="18"/>
                <w:lang w:val="bs-Latn-BA"/>
              </w:rPr>
              <w:t>-</w:t>
            </w:r>
            <w:r w:rsidRPr="0069115E">
              <w:rPr>
                <w:rFonts w:ascii="Times New Roman" w:hAnsi="Times New Roman"/>
                <w:sz w:val="18"/>
                <w:lang w:val="bs-Latn-BA"/>
              </w:rPr>
              <w:t>pravne poslove u kontinuitetu pruža savjetodavnu podršku preduzetnicima i početnicima u biznisu u smislu načina registrovanja djelatnosti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7A722" w14:textId="2CB3E707" w:rsidR="00E41F6D" w:rsidRPr="0069115E" w:rsidRDefault="00E41F6D" w:rsidP="00E25E10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N/A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CA60" w14:textId="46131AEA" w:rsidR="00E41F6D" w:rsidRPr="0069115E" w:rsidRDefault="00E41F6D" w:rsidP="00244E89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41F6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Realizovano I–IV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A784A4" w14:textId="77777777" w:rsidR="00E41F6D" w:rsidRPr="0069115E" w:rsidRDefault="00E41F6D" w:rsidP="006911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</w:tc>
      </w:tr>
      <w:tr w:rsidR="00D676A6" w:rsidRPr="0069115E" w14:paraId="3E114DC7" w14:textId="77777777" w:rsidTr="00CB4E53">
        <w:trPr>
          <w:trHeight w:val="690"/>
        </w:trPr>
        <w:tc>
          <w:tcPr>
            <w:tcW w:w="292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9529EEE" w14:textId="5C786F40" w:rsidR="00D676A6" w:rsidRPr="0069115E" w:rsidRDefault="00D676A6" w:rsidP="0069115E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69115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3.4. Nefinansijske mjere podrške ženskom preduzetništvu (savjetovanja, obuke)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7DCF7" w14:textId="1350C67D" w:rsidR="00D676A6" w:rsidRPr="0069115E" w:rsidRDefault="00D676A6" w:rsidP="0069115E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69115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Žene preduzetnice i nezaposlene žene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C2B54" w14:textId="77777777" w:rsidR="00D676A6" w:rsidRPr="0069115E" w:rsidRDefault="00D676A6" w:rsidP="0069115E">
            <w:pPr>
              <w:rPr>
                <w:rFonts w:ascii="Times New Roman" w:hAnsi="Times New Roman"/>
                <w:sz w:val="18"/>
                <w:lang w:val="bs-Latn-BA"/>
              </w:rPr>
            </w:pPr>
            <w:r w:rsidRPr="0069115E">
              <w:rPr>
                <w:rFonts w:ascii="Times New Roman" w:hAnsi="Times New Roman"/>
                <w:sz w:val="18"/>
                <w:lang w:val="bs-Latn-BA"/>
              </w:rPr>
              <w:t xml:space="preserve">Najmanje 15 žena učestvovalo na obuci </w:t>
            </w:r>
          </w:p>
          <w:p w14:paraId="0FD4B4AB" w14:textId="012700D3" w:rsidR="00D676A6" w:rsidRPr="0069115E" w:rsidRDefault="00D676A6" w:rsidP="0069115E">
            <w:pPr>
              <w:spacing w:after="0" w:line="240" w:lineRule="auto"/>
              <w:rPr>
                <w:rFonts w:ascii="Times New Roman" w:eastAsia="Calibri" w:hAnsi="Times New Roman"/>
                <w:b/>
                <w:noProof/>
                <w:sz w:val="18"/>
                <w:lang w:val="sr-Latn-ME"/>
              </w:rPr>
            </w:pPr>
            <w:r w:rsidRPr="0069115E">
              <w:rPr>
                <w:rFonts w:ascii="Times New Roman" w:hAnsi="Times New Roman"/>
                <w:sz w:val="18"/>
                <w:lang w:val="bs-Latn-BA"/>
              </w:rPr>
              <w:t>Najmanje 30 žena dobilo uslugu savjetovanja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3BBCA" w14:textId="3AEEFBC8" w:rsidR="00D676A6" w:rsidRPr="000C4C7B" w:rsidRDefault="000C4C7B" w:rsidP="000C4C7B">
            <w:pPr>
              <w:rPr>
                <w:rFonts w:ascii="Times New Roman" w:hAnsi="Times New Roman"/>
                <w:bCs/>
                <w:sz w:val="18"/>
              </w:rPr>
            </w:pPr>
            <w:r w:rsidRPr="000C4C7B">
              <w:rPr>
                <w:rFonts w:ascii="Times New Roman" w:hAnsi="Times New Roman"/>
                <w:bCs/>
                <w:sz w:val="18"/>
              </w:rPr>
              <w:t xml:space="preserve">IPC </w:t>
            </w:r>
            <w:proofErr w:type="spellStart"/>
            <w:r w:rsidRPr="000C4C7B">
              <w:rPr>
                <w:rFonts w:ascii="Times New Roman" w:hAnsi="Times New Roman"/>
                <w:bCs/>
                <w:sz w:val="18"/>
              </w:rPr>
              <w:t>Tehnopolis</w:t>
            </w:r>
            <w:proofErr w:type="spellEnd"/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3302" w14:textId="14998B2A" w:rsidR="00D676A6" w:rsidRPr="0069115E" w:rsidRDefault="00D676A6" w:rsidP="0069115E">
            <w:pPr>
              <w:rPr>
                <w:rFonts w:ascii="Times New Roman" w:hAnsi="Times New Roman"/>
                <w:b/>
                <w:sz w:val="18"/>
                <w:lang w:val="hr-HR"/>
              </w:rPr>
            </w:pPr>
            <w:r w:rsidRPr="0069115E">
              <w:rPr>
                <w:rFonts w:ascii="Times New Roman" w:hAnsi="Times New Roman"/>
                <w:sz w:val="18"/>
                <w:lang w:val="bs-Latn-BA"/>
              </w:rPr>
              <w:t>31 žena je prošl</w:t>
            </w:r>
            <w:r>
              <w:rPr>
                <w:rFonts w:ascii="Times New Roman" w:hAnsi="Times New Roman"/>
                <w:sz w:val="18"/>
                <w:lang w:val="bs-Latn-BA"/>
              </w:rPr>
              <w:t>a</w:t>
            </w:r>
            <w:r w:rsidRPr="0069115E">
              <w:rPr>
                <w:rFonts w:ascii="Times New Roman" w:hAnsi="Times New Roman"/>
                <w:sz w:val="18"/>
                <w:lang w:val="bs-Latn-BA"/>
              </w:rPr>
              <w:t xml:space="preserve"> obuke koje je organizovao IPC Tehnopolis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DF54" w14:textId="5BA24635" w:rsidR="00D676A6" w:rsidRDefault="00D676A6" w:rsidP="0069115E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1D31A7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Donator</w:t>
            </w:r>
          </w:p>
          <w:p w14:paraId="192800A6" w14:textId="77777777" w:rsidR="00D676A6" w:rsidRDefault="00D676A6" w:rsidP="0069115E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  <w:p w14:paraId="5472ACAC" w14:textId="77777777" w:rsidR="00D676A6" w:rsidRDefault="00D676A6" w:rsidP="0069115E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  <w:p w14:paraId="45F9D308" w14:textId="50E28740" w:rsidR="00D676A6" w:rsidRPr="001D31A7" w:rsidRDefault="00D676A6" w:rsidP="0069115E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1A4C3" w14:textId="1E032626" w:rsidR="00D676A6" w:rsidRPr="00E25E10" w:rsidRDefault="00D676A6" w:rsidP="00E25E10">
            <w:pPr>
              <w:spacing w:after="0" w:line="240" w:lineRule="auto"/>
              <w:rPr>
                <w:rFonts w:ascii="Times New Roman" w:hAnsi="Times New Roman"/>
                <w:sz w:val="18"/>
                <w:lang w:val="bs-Latn-BA"/>
              </w:rPr>
            </w:pPr>
            <w:r w:rsidRPr="0069115E">
              <w:rPr>
                <w:rFonts w:ascii="Times New Roman" w:hAnsi="Times New Roman"/>
                <w:sz w:val="18"/>
                <w:lang w:val="bs-Latn-BA"/>
              </w:rPr>
              <w:t>Realizovano</w:t>
            </w:r>
            <w:r>
              <w:rPr>
                <w:rFonts w:ascii="Times New Roman" w:hAnsi="Times New Roman"/>
                <w:sz w:val="18"/>
                <w:lang w:val="bs-Latn-BA"/>
              </w:rPr>
              <w:t xml:space="preserve"> </w:t>
            </w:r>
            <w:r w:rsidRPr="0069115E">
              <w:rPr>
                <w:rFonts w:ascii="Times New Roman" w:hAnsi="Times New Roman"/>
                <w:sz w:val="18"/>
                <w:lang w:val="bs-Latn-BA"/>
              </w:rPr>
              <w:t>I–II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7CF6B4" w14:textId="2291E744" w:rsidR="00D676A6" w:rsidRPr="0069115E" w:rsidRDefault="00D676A6" w:rsidP="006911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</w:tc>
      </w:tr>
      <w:tr w:rsidR="00D676A6" w:rsidRPr="0069115E" w14:paraId="3F9606DD" w14:textId="77777777" w:rsidTr="00CB4E53">
        <w:trPr>
          <w:trHeight w:val="765"/>
        </w:trPr>
        <w:tc>
          <w:tcPr>
            <w:tcW w:w="292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3E37" w14:textId="77777777" w:rsidR="00D676A6" w:rsidRPr="0069115E" w:rsidRDefault="00D676A6" w:rsidP="006911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A17E" w14:textId="77777777" w:rsidR="00D676A6" w:rsidRPr="0069115E" w:rsidRDefault="00D676A6" w:rsidP="0069115E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D2CA0" w14:textId="77777777" w:rsidR="00D676A6" w:rsidRPr="0069115E" w:rsidRDefault="00D676A6" w:rsidP="0069115E">
            <w:pPr>
              <w:rPr>
                <w:rFonts w:ascii="Times New Roman" w:hAnsi="Times New Roman"/>
                <w:sz w:val="18"/>
                <w:lang w:val="bs-Latn-BA"/>
              </w:rPr>
            </w:pP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911A" w14:textId="701C5B94" w:rsidR="000C4C7B" w:rsidRPr="0069115E" w:rsidRDefault="000C4C7B" w:rsidP="000C4C7B">
            <w:pPr>
              <w:rPr>
                <w:rFonts w:ascii="Times New Roman" w:hAnsi="Times New Roman"/>
                <w:sz w:val="18"/>
                <w:lang w:val="bs-Latn-BA"/>
              </w:rPr>
            </w:pPr>
            <w:r w:rsidRPr="0069115E">
              <w:rPr>
                <w:rFonts w:ascii="Times New Roman" w:hAnsi="Times New Roman"/>
                <w:sz w:val="18"/>
                <w:lang w:val="bs-Latn-BA"/>
              </w:rPr>
              <w:t xml:space="preserve">Opština Nikšić </w:t>
            </w:r>
          </w:p>
          <w:p w14:paraId="23D5C567" w14:textId="50B6950B" w:rsidR="00D676A6" w:rsidRPr="0069115E" w:rsidRDefault="00D676A6" w:rsidP="000C4C7B">
            <w:pPr>
              <w:pStyle w:val="Default"/>
              <w:rPr>
                <w:rFonts w:ascii="Times New Roman" w:hAnsi="Times New Roman"/>
                <w:sz w:val="18"/>
                <w:lang w:val="bs-Latn-BA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2BAA3" w14:textId="77777777" w:rsidR="00D676A6" w:rsidRPr="0069115E" w:rsidRDefault="00D676A6" w:rsidP="00D676A6">
            <w:pPr>
              <w:pStyle w:val="Default"/>
              <w:rPr>
                <w:rFonts w:ascii="Times New Roman" w:hAnsi="Times New Roman"/>
                <w:sz w:val="18"/>
                <w:lang w:val="bs-Latn-BA"/>
              </w:rPr>
            </w:pPr>
            <w:r w:rsidRPr="0069115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Obuci koju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je </w:t>
            </w:r>
            <w:r w:rsidRPr="0069115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organizovala Opština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prisustvovalo je </w:t>
            </w:r>
            <w:r w:rsidRPr="0069115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žena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EDE3A" w14:textId="320B50E0" w:rsidR="00D676A6" w:rsidRPr="001D31A7" w:rsidRDefault="00D676A6" w:rsidP="00D676A6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 w:rsidRPr="00D676A6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Budžet Opštine Nikšić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16D6" w14:textId="16D1EE51" w:rsidR="00D676A6" w:rsidRPr="0069115E" w:rsidRDefault="00D676A6" w:rsidP="00E25E10">
            <w:pPr>
              <w:spacing w:after="0" w:line="240" w:lineRule="auto"/>
              <w:rPr>
                <w:rFonts w:ascii="Times New Roman" w:hAnsi="Times New Roman"/>
                <w:sz w:val="18"/>
                <w:lang w:val="bs-Latn-BA"/>
              </w:rPr>
            </w:pPr>
            <w:r w:rsidRPr="00D676A6">
              <w:rPr>
                <w:rFonts w:ascii="Times New Roman" w:hAnsi="Times New Roman"/>
                <w:sz w:val="18"/>
                <w:lang w:val="bs-Latn-BA"/>
              </w:rPr>
              <w:t>Realizovano I–II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458D952" w14:textId="3CCE3F86" w:rsidR="00D676A6" w:rsidRPr="00E41F6D" w:rsidRDefault="00F6412D" w:rsidP="0083626D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 xml:space="preserve">Ukupan trošak organizacije obuke iznosio je 500,00 </w:t>
            </w:r>
            <w:r w:rsidR="00F01D52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€</w:t>
            </w:r>
          </w:p>
        </w:tc>
      </w:tr>
      <w:tr w:rsidR="00756E9F" w:rsidRPr="0069115E" w14:paraId="51255E44" w14:textId="77777777" w:rsidTr="00756E9F">
        <w:tc>
          <w:tcPr>
            <w:tcW w:w="2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E22E" w14:textId="77777777" w:rsidR="00756E9F" w:rsidRPr="0069115E" w:rsidRDefault="00756E9F" w:rsidP="0069115E">
            <w:pPr>
              <w:rPr>
                <w:rFonts w:ascii="Times New Roman" w:hAnsi="Times New Roman"/>
                <w:sz w:val="18"/>
                <w:lang w:val="bs-Latn-BA"/>
              </w:rPr>
            </w:pPr>
            <w:r w:rsidRPr="0069115E">
              <w:rPr>
                <w:rFonts w:ascii="Times New Roman" w:hAnsi="Times New Roman"/>
                <w:sz w:val="18"/>
                <w:lang w:val="bs-Latn-BA"/>
              </w:rPr>
              <w:t>3.5. Podrška ženskom preduzetništvu – grantovi</w:t>
            </w:r>
          </w:p>
          <w:p w14:paraId="7C07D746" w14:textId="77777777" w:rsidR="00756E9F" w:rsidRPr="0069115E" w:rsidRDefault="00756E9F" w:rsidP="0069115E">
            <w:pPr>
              <w:rPr>
                <w:rFonts w:ascii="Times New Roman" w:hAnsi="Times New Roman"/>
                <w:sz w:val="18"/>
                <w:lang w:val="bs-Latn-BA"/>
              </w:rPr>
            </w:pPr>
          </w:p>
          <w:p w14:paraId="38E1A4D5" w14:textId="77777777" w:rsidR="00756E9F" w:rsidRPr="0069115E" w:rsidRDefault="00756E9F" w:rsidP="0069115E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D5B8A" w14:textId="53DA8D18" w:rsidR="00756E9F" w:rsidRPr="0069115E" w:rsidRDefault="00756E9F" w:rsidP="0069115E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69115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Žene preduzetnice i nezaposlene žene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A702" w14:textId="645F8420" w:rsidR="00756E9F" w:rsidRPr="0069115E" w:rsidRDefault="00756E9F" w:rsidP="0069115E">
            <w:pPr>
              <w:spacing w:after="0" w:line="240" w:lineRule="auto"/>
              <w:rPr>
                <w:rFonts w:ascii="Times New Roman" w:eastAsia="Calibri" w:hAnsi="Times New Roman"/>
                <w:b/>
                <w:noProof/>
                <w:sz w:val="18"/>
                <w:lang w:val="sr-Latn-ME"/>
              </w:rPr>
            </w:pPr>
            <w:r w:rsidRPr="0069115E">
              <w:rPr>
                <w:rFonts w:ascii="Times New Roman" w:hAnsi="Times New Roman"/>
                <w:sz w:val="18"/>
                <w:lang w:val="bs-Latn-BA"/>
              </w:rPr>
              <w:t>Najmanje 10 žena dobilo finansijsku podršku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C474" w14:textId="1A04CAA7" w:rsidR="00756E9F" w:rsidRPr="0069115E" w:rsidRDefault="00756E9F" w:rsidP="0069115E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115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Opština Nikšić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6FFB" w14:textId="1939DAC8" w:rsidR="00756E9F" w:rsidRPr="0069115E" w:rsidRDefault="00756E9F" w:rsidP="0069115E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69115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Opština Nikšić je dodijelila grantove za 1</w:t>
            </w:r>
            <w:r w:rsidR="00F555D1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5</w:t>
            </w:r>
            <w:r w:rsidRPr="0069115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korisnica (1</w:t>
            </w:r>
            <w:r w:rsidR="00F555D1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0</w:t>
            </w:r>
            <w:r w:rsidRPr="0069115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početnic</w:t>
            </w:r>
            <w:r w:rsidR="00F555D1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</w:t>
            </w:r>
            <w:r w:rsidRPr="0069115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u bizni</w:t>
            </w:r>
            <w:r w:rsidR="00C66D7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</w:t>
            </w:r>
            <w:r w:rsidRPr="0069115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u, </w:t>
            </w:r>
            <w:r w:rsidR="00F555D1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5</w:t>
            </w:r>
            <w:r w:rsidRPr="0069115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preduzetnic</w:t>
            </w:r>
            <w:r w:rsidR="00F555D1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</w:t>
            </w:r>
            <w:r w:rsidRPr="0069115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C1DA" w14:textId="750FC0A1" w:rsidR="00756E9F" w:rsidRPr="0069115E" w:rsidRDefault="00756E9F" w:rsidP="0069115E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proofErr w:type="spellStart"/>
            <w:r w:rsidRPr="0069115E">
              <w:rPr>
                <w:rFonts w:ascii="Times New Roman" w:hAnsi="Times New Roman" w:cs="Times New Roman"/>
                <w:sz w:val="18"/>
                <w:szCs w:val="18"/>
              </w:rPr>
              <w:t>Budžet</w:t>
            </w:r>
            <w:proofErr w:type="spellEnd"/>
            <w:r w:rsidRPr="006911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D1583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69115E">
              <w:rPr>
                <w:rFonts w:ascii="Times New Roman" w:hAnsi="Times New Roman" w:cs="Times New Roman"/>
                <w:sz w:val="18"/>
                <w:szCs w:val="18"/>
              </w:rPr>
              <w:t>pštine</w:t>
            </w:r>
            <w:proofErr w:type="spellEnd"/>
            <w:r w:rsidRPr="006911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115E">
              <w:rPr>
                <w:rFonts w:ascii="Times New Roman" w:hAnsi="Times New Roman" w:cs="Times New Roman"/>
                <w:sz w:val="18"/>
                <w:szCs w:val="18"/>
              </w:rPr>
              <w:t>Nikšić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EC7F4" w14:textId="68AA2A11" w:rsidR="00756E9F" w:rsidRPr="00E25E10" w:rsidRDefault="00756E9F" w:rsidP="00E25E10">
            <w:pPr>
              <w:spacing w:after="0" w:line="240" w:lineRule="auto"/>
              <w:rPr>
                <w:rFonts w:ascii="Times New Roman" w:hAnsi="Times New Roman"/>
                <w:sz w:val="18"/>
                <w:lang w:val="bs-Latn-BA"/>
              </w:rPr>
            </w:pPr>
            <w:r w:rsidRPr="0069115E">
              <w:rPr>
                <w:rFonts w:ascii="Times New Roman" w:hAnsi="Times New Roman"/>
                <w:sz w:val="18"/>
                <w:lang w:val="bs-Latn-BA"/>
              </w:rPr>
              <w:t>R</w:t>
            </w:r>
            <w:r w:rsidR="00244E89" w:rsidRPr="0069115E">
              <w:rPr>
                <w:rFonts w:ascii="Times New Roman" w:hAnsi="Times New Roman"/>
                <w:sz w:val="18"/>
                <w:lang w:val="bs-Latn-BA"/>
              </w:rPr>
              <w:t>e</w:t>
            </w:r>
            <w:r w:rsidRPr="0069115E">
              <w:rPr>
                <w:rFonts w:ascii="Times New Roman" w:hAnsi="Times New Roman"/>
                <w:sz w:val="18"/>
                <w:lang w:val="bs-Latn-BA"/>
              </w:rPr>
              <w:t>alizovano</w:t>
            </w:r>
            <w:r w:rsidR="00E25E10">
              <w:rPr>
                <w:rFonts w:ascii="Times New Roman" w:hAnsi="Times New Roman"/>
                <w:sz w:val="18"/>
                <w:lang w:val="bs-Latn-BA"/>
              </w:rPr>
              <w:t xml:space="preserve"> </w:t>
            </w:r>
            <w:r w:rsidRPr="0069115E">
              <w:rPr>
                <w:rFonts w:ascii="Times New Roman" w:hAnsi="Times New Roman"/>
                <w:sz w:val="18"/>
                <w:lang w:val="bs-Latn-BA"/>
              </w:rPr>
              <w:t>I–II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CA9977D" w14:textId="7BE15804" w:rsidR="00756E9F" w:rsidRPr="00DE1521" w:rsidRDefault="006056CD" w:rsidP="002A718B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 w:rsidRPr="00DE1521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Ukupan iznos za podršku preduzetnicama</w:t>
            </w:r>
            <w:r w:rsidR="002A718B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 xml:space="preserve"> </w:t>
            </w:r>
            <w:r w:rsidR="00DE1521" w:rsidRPr="00DE1521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iznosio je</w:t>
            </w:r>
            <w:r w:rsidRPr="00DE1521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 xml:space="preserve"> </w:t>
            </w:r>
            <w:r w:rsidR="00F555D1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3</w:t>
            </w:r>
            <w:r w:rsidR="00125828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7</w:t>
            </w:r>
            <w:r w:rsidRPr="00DE1521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.</w:t>
            </w:r>
            <w:r w:rsidR="00125828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5</w:t>
            </w:r>
            <w:r w:rsidRPr="00DE1521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00,00</w:t>
            </w:r>
            <w:r w:rsidR="00F01D52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 xml:space="preserve"> €</w:t>
            </w:r>
          </w:p>
        </w:tc>
      </w:tr>
      <w:tr w:rsidR="00756E9F" w:rsidRPr="0069115E" w14:paraId="07BB8BE9" w14:textId="77777777" w:rsidTr="00756E9F">
        <w:tc>
          <w:tcPr>
            <w:tcW w:w="29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682AE62" w14:textId="035FC600" w:rsidR="00756E9F" w:rsidRPr="0069115E" w:rsidRDefault="00756E9F" w:rsidP="0069115E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69115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3.6. Sajmovi lokalnih preduzetnika, proizvođača autentičnih lokalnih proizvoda i suvenira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E68B3E7" w14:textId="0C3BACDE" w:rsidR="00756E9F" w:rsidRPr="0069115E" w:rsidRDefault="00756E9F" w:rsidP="0069115E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69115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Lokalno stanovništvo, turisti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1CA77A5" w14:textId="35B2A539" w:rsidR="00756E9F" w:rsidRPr="0069115E" w:rsidRDefault="00756E9F" w:rsidP="0069115E">
            <w:pPr>
              <w:spacing w:after="0" w:line="240" w:lineRule="auto"/>
              <w:rPr>
                <w:rFonts w:ascii="Times New Roman" w:eastAsia="Calibri" w:hAnsi="Times New Roman"/>
                <w:b/>
                <w:noProof/>
                <w:sz w:val="18"/>
                <w:lang w:val="sr-Latn-ME"/>
              </w:rPr>
            </w:pPr>
            <w:r w:rsidRPr="0069115E">
              <w:rPr>
                <w:rFonts w:ascii="Times New Roman" w:hAnsi="Times New Roman"/>
                <w:sz w:val="18"/>
                <w:lang w:val="bs-Latn-BA"/>
              </w:rPr>
              <w:t>Najmanje 100 proizvođača izložilo svoje proizvode na sajmovima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F5C966F" w14:textId="0252465B" w:rsidR="00756E9F" w:rsidRPr="0069115E" w:rsidRDefault="00756E9F" w:rsidP="0069115E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115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Opština Nikšić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E040196" w14:textId="410EB99D" w:rsidR="00756E9F" w:rsidRPr="0069115E" w:rsidRDefault="00756E9F" w:rsidP="0069115E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69115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Održani su</w:t>
            </w:r>
            <w:r w:rsidR="00244E8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:</w:t>
            </w:r>
            <w:r w:rsidRPr="0069115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F6412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Vaskršnji bazar, </w:t>
            </w:r>
            <w:r w:rsidRPr="0069115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Sajam lokalnih proizvoda, Novogodišnji i božićni bazar –</w:t>
            </w:r>
            <w:r w:rsidR="000E338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69115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ukupno je bilo</w:t>
            </w:r>
            <w:r w:rsidR="00F555D1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17</w:t>
            </w:r>
            <w:r w:rsidRPr="0069115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0 učesnika iz Nikšića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27D52EF" w14:textId="3D6E92BD" w:rsidR="00756E9F" w:rsidRPr="0069115E" w:rsidRDefault="00756E9F" w:rsidP="0069115E">
            <w:pPr>
              <w:rPr>
                <w:rFonts w:ascii="Times New Roman" w:hAnsi="Times New Roman"/>
                <w:sz w:val="18"/>
                <w:lang w:val="bs-Latn-BA"/>
              </w:rPr>
            </w:pPr>
            <w:r w:rsidRPr="0069115E">
              <w:rPr>
                <w:rFonts w:ascii="Times New Roman" w:hAnsi="Times New Roman"/>
                <w:sz w:val="18"/>
                <w:lang w:val="bs-Latn-BA"/>
              </w:rPr>
              <w:t xml:space="preserve">Budžet </w:t>
            </w:r>
            <w:r w:rsidR="00E41F6D">
              <w:rPr>
                <w:rFonts w:ascii="Times New Roman" w:hAnsi="Times New Roman"/>
                <w:sz w:val="18"/>
                <w:lang w:val="bs-Latn-BA"/>
              </w:rPr>
              <w:t>Opštine Nikšić</w:t>
            </w:r>
          </w:p>
          <w:p w14:paraId="3CE36B86" w14:textId="77777777" w:rsidR="00756E9F" w:rsidRPr="0069115E" w:rsidRDefault="00756E9F" w:rsidP="0069115E">
            <w:pPr>
              <w:rPr>
                <w:rFonts w:ascii="Times New Roman" w:hAnsi="Times New Roman"/>
                <w:sz w:val="18"/>
                <w:lang w:val="bs-Latn-BA"/>
              </w:rPr>
            </w:pPr>
            <w:r w:rsidRPr="0069115E">
              <w:rPr>
                <w:rFonts w:ascii="Times New Roman" w:hAnsi="Times New Roman"/>
                <w:sz w:val="18"/>
                <w:lang w:val="bs-Latn-BA"/>
              </w:rPr>
              <w:t xml:space="preserve">Sponzori </w:t>
            </w:r>
          </w:p>
          <w:p w14:paraId="6ABD9921" w14:textId="7BA0BF34" w:rsidR="00756E9F" w:rsidRPr="0069115E" w:rsidRDefault="00756E9F" w:rsidP="0069115E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69115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Drugi donatori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6A86554" w14:textId="5129A582" w:rsidR="00756E9F" w:rsidRPr="0069115E" w:rsidRDefault="00756E9F" w:rsidP="0069115E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69115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Re</w:t>
            </w:r>
            <w:r w:rsidR="00244E89" w:rsidRPr="0069115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</w:t>
            </w:r>
            <w:r w:rsidRPr="0069115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lizovano I–IV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C6C842D" w14:textId="33620200" w:rsidR="00756E9F" w:rsidRPr="000C4C7B" w:rsidRDefault="000C4C7B" w:rsidP="0069115E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 w:rsidRPr="000C4C7B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 xml:space="preserve">Za organizaciju sajmova </w:t>
            </w:r>
            <w:r w:rsidR="00F6412D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ukupno je utrošeno 20.</w:t>
            </w:r>
            <w:r w:rsidR="00125828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2</w:t>
            </w:r>
            <w:r w:rsidR="00F6412D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00,00</w:t>
            </w:r>
            <w:r w:rsidR="00F01D52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 xml:space="preserve"> €</w:t>
            </w:r>
          </w:p>
          <w:p w14:paraId="1A31E8C5" w14:textId="104FAC7E" w:rsidR="00756E9F" w:rsidRPr="0069115E" w:rsidRDefault="00756E9F" w:rsidP="0069115E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</w:tc>
      </w:tr>
    </w:tbl>
    <w:p w14:paraId="7C7D162F" w14:textId="65C8F6F2" w:rsidR="000C46F8" w:rsidRDefault="000C46F8">
      <w:pPr>
        <w:rPr>
          <w:lang w:val="bs-Latn-BA"/>
        </w:rPr>
      </w:pPr>
    </w:p>
    <w:tbl>
      <w:tblPr>
        <w:tblStyle w:val="Koordinatnamreatabele"/>
        <w:tblW w:w="15452" w:type="dxa"/>
        <w:tblInd w:w="-866" w:type="dxa"/>
        <w:tblLook w:val="04A0" w:firstRow="1" w:lastRow="0" w:firstColumn="1" w:lastColumn="0" w:noHBand="0" w:noVBand="1"/>
      </w:tblPr>
      <w:tblGrid>
        <w:gridCol w:w="2651"/>
        <w:gridCol w:w="1511"/>
        <w:gridCol w:w="1542"/>
        <w:gridCol w:w="1346"/>
        <w:gridCol w:w="2412"/>
        <w:gridCol w:w="1569"/>
        <w:gridCol w:w="1869"/>
        <w:gridCol w:w="2552"/>
      </w:tblGrid>
      <w:tr w:rsidR="000C46F8" w:rsidRPr="00B17C24" w14:paraId="24B498B9" w14:textId="77777777" w:rsidTr="00B71236">
        <w:tc>
          <w:tcPr>
            <w:tcW w:w="1545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</w:tcPr>
          <w:p w14:paraId="1186396D" w14:textId="77777777" w:rsidR="000C46F8" w:rsidRPr="00B17C24" w:rsidRDefault="000C46F8" w:rsidP="00A60C92">
            <w:pPr>
              <w:pStyle w:val="Default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</w:p>
          <w:p w14:paraId="6555B95A" w14:textId="281F2EF6" w:rsidR="000C46F8" w:rsidRPr="00B17C24" w:rsidRDefault="000C46F8" w:rsidP="00A60C9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  <w:r w:rsidRPr="00B17C24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OPERATIVNI CILJ </w:t>
            </w:r>
            <w:r w:rsidR="0069115E" w:rsidRPr="00B17C24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4</w:t>
            </w:r>
            <w:r w:rsidRPr="00B17C24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: </w:t>
            </w:r>
            <w:r w:rsidR="0069115E" w:rsidRPr="00B17C2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s-Latn-BA"/>
              </w:rPr>
              <w:t>Povećanje zaposlenosti i socijalne uključenosti lica u nepovoljnom položaju na tržištu rada</w:t>
            </w:r>
          </w:p>
        </w:tc>
      </w:tr>
      <w:tr w:rsidR="00756E9F" w:rsidRPr="00B17C24" w14:paraId="6C593412" w14:textId="77777777" w:rsidTr="00756E9F">
        <w:tc>
          <w:tcPr>
            <w:tcW w:w="2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</w:tcPr>
          <w:p w14:paraId="4D1920F6" w14:textId="77777777" w:rsidR="00756E9F" w:rsidRPr="00B17C24" w:rsidRDefault="00756E9F" w:rsidP="00A6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  <w:r w:rsidRPr="00B17C24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 Mjera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</w:tcPr>
          <w:p w14:paraId="5812697D" w14:textId="77777777" w:rsidR="00756E9F" w:rsidRPr="00B17C24" w:rsidRDefault="00756E9F" w:rsidP="00A6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  <w:r w:rsidRPr="00B17C24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Ciljna grupa</w:t>
            </w:r>
          </w:p>
        </w:tc>
        <w:tc>
          <w:tcPr>
            <w:tcW w:w="1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</w:tcPr>
          <w:p w14:paraId="5565BE5F" w14:textId="77777777" w:rsidR="00756E9F" w:rsidRPr="00B17C24" w:rsidRDefault="00756E9F" w:rsidP="00A60C9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iCs/>
                <w:noProof/>
                <w:sz w:val="18"/>
                <w:lang w:val="sr-Latn-ME"/>
              </w:rPr>
            </w:pPr>
            <w:r w:rsidRPr="00B17C24">
              <w:rPr>
                <w:rFonts w:ascii="Times New Roman" w:eastAsia="Calibri" w:hAnsi="Times New Roman"/>
                <w:b/>
                <w:noProof/>
                <w:sz w:val="18"/>
                <w:lang w:val="sr-Latn-ME"/>
              </w:rPr>
              <w:t>Očekivani rezultat i planiran broj uključenih</w:t>
            </w:r>
          </w:p>
          <w:p w14:paraId="3B4513CF" w14:textId="77777777" w:rsidR="00756E9F" w:rsidRPr="00B17C24" w:rsidRDefault="00756E9F" w:rsidP="00A6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</w:tcPr>
          <w:p w14:paraId="6415C91C" w14:textId="3B681304" w:rsidR="00756E9F" w:rsidRPr="00B17C24" w:rsidRDefault="00756E9F" w:rsidP="00A6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  <w:proofErr w:type="spellStart"/>
            <w:r w:rsidRPr="00B17C24">
              <w:rPr>
                <w:rFonts w:ascii="Times New Roman" w:hAnsi="Times New Roman" w:cs="Times New Roman"/>
                <w:b/>
                <w:sz w:val="18"/>
                <w:szCs w:val="18"/>
              </w:rPr>
              <w:t>Odgovornost</w:t>
            </w:r>
            <w:proofErr w:type="spellEnd"/>
            <w:r w:rsidRPr="00B17C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 </w:t>
            </w:r>
            <w:proofErr w:type="spellStart"/>
            <w:r w:rsidRPr="00B17C24">
              <w:rPr>
                <w:rFonts w:ascii="Times New Roman" w:hAnsi="Times New Roman" w:cs="Times New Roman"/>
                <w:b/>
                <w:sz w:val="18"/>
                <w:szCs w:val="18"/>
              </w:rPr>
              <w:t>realizaciju</w:t>
            </w:r>
            <w:proofErr w:type="spellEnd"/>
          </w:p>
        </w:tc>
        <w:tc>
          <w:tcPr>
            <w:tcW w:w="2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</w:tcPr>
          <w:p w14:paraId="32D11A01" w14:textId="77777777" w:rsidR="00756E9F" w:rsidRPr="00B17C24" w:rsidRDefault="00756E9F" w:rsidP="00A6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  <w:r w:rsidRPr="00B17C24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Rezultat /</w:t>
            </w:r>
            <w:r w:rsidRPr="00B17C24"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  <w:lang w:val="sr-Latn-ME"/>
              </w:rPr>
              <w:t xml:space="preserve"> postignute vrijednosti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</w:tcPr>
          <w:p w14:paraId="1ADF623F" w14:textId="77777777" w:rsidR="00756E9F" w:rsidRPr="00B17C24" w:rsidRDefault="00756E9F" w:rsidP="00A6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  <w:r w:rsidRPr="00B17C24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Izvor finansiranja</w:t>
            </w:r>
          </w:p>
        </w:tc>
        <w:tc>
          <w:tcPr>
            <w:tcW w:w="1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</w:tcPr>
          <w:p w14:paraId="5ECB80FD" w14:textId="46E81AA9" w:rsidR="00756E9F" w:rsidRPr="000E338E" w:rsidRDefault="00756E9F" w:rsidP="000E338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B17C24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Status realizacije</w:t>
            </w:r>
            <w:r w:rsidR="000E338E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 xml:space="preserve"> </w:t>
            </w:r>
            <w:r w:rsidRPr="00B17C24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/</w:t>
            </w:r>
            <w:r w:rsidR="000E338E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 xml:space="preserve"> </w:t>
            </w:r>
            <w:r w:rsidRPr="00B17C24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 xml:space="preserve">vremenski period 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</w:tcPr>
          <w:p w14:paraId="3460458E" w14:textId="09723EE2" w:rsidR="00756E9F" w:rsidRPr="00B17C24" w:rsidRDefault="00756E9F" w:rsidP="00A60C9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  <w:r w:rsidRPr="00B17C24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Napomene</w:t>
            </w:r>
          </w:p>
        </w:tc>
      </w:tr>
      <w:tr w:rsidR="00756E9F" w:rsidRPr="00B17C24" w14:paraId="286196FD" w14:textId="77777777" w:rsidTr="00756E9F">
        <w:tc>
          <w:tcPr>
            <w:tcW w:w="26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8E6D" w14:textId="4BB6BBDE" w:rsidR="00756E9F" w:rsidRPr="00B17C24" w:rsidRDefault="00756E9F" w:rsidP="00B17C2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B17C2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4.1. Sprovođenje mjera aktivacije radno sposobnih korisnika materijalnog obezbjeđenja 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B70C" w14:textId="35BCB565" w:rsidR="00756E9F" w:rsidRPr="00B17C24" w:rsidRDefault="00756E9F" w:rsidP="00B17C2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B17C2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Korisnici MO prijavljeni na evidenciji </w:t>
            </w:r>
            <w:r w:rsidR="007D158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ZZZCG</w:t>
            </w:r>
            <w:r w:rsidR="000E338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– </w:t>
            </w:r>
            <w:r w:rsidR="007D158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PJ Nikšić</w:t>
            </w:r>
          </w:p>
        </w:tc>
        <w:tc>
          <w:tcPr>
            <w:tcW w:w="1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3129" w14:textId="77777777" w:rsidR="00756E9F" w:rsidRPr="00B17C24" w:rsidRDefault="00756E9F" w:rsidP="00B17C24">
            <w:pPr>
              <w:spacing w:after="0" w:line="240" w:lineRule="auto"/>
              <w:rPr>
                <w:rFonts w:ascii="Times New Roman" w:hAnsi="Times New Roman"/>
                <w:sz w:val="18"/>
                <w:lang w:val="bs-Latn-BA"/>
              </w:rPr>
            </w:pPr>
            <w:r w:rsidRPr="00B17C24">
              <w:rPr>
                <w:rFonts w:ascii="Times New Roman" w:hAnsi="Times New Roman"/>
                <w:sz w:val="18"/>
                <w:lang w:val="bs-Latn-BA"/>
              </w:rPr>
              <w:t>Izrađeni i realizovani planovi aktivacije</w:t>
            </w:r>
          </w:p>
          <w:p w14:paraId="53627AD4" w14:textId="77777777" w:rsidR="00756E9F" w:rsidRPr="00B17C24" w:rsidRDefault="00756E9F" w:rsidP="00B17C24">
            <w:pPr>
              <w:spacing w:after="0" w:line="240" w:lineRule="auto"/>
              <w:rPr>
                <w:rFonts w:ascii="Times New Roman" w:eastAsia="Calibri" w:hAnsi="Times New Roman"/>
                <w:b/>
                <w:noProof/>
                <w:sz w:val="18"/>
                <w:lang w:val="sr-Latn-ME"/>
              </w:rPr>
            </w:pPr>
          </w:p>
          <w:p w14:paraId="17B64431" w14:textId="7D2B18C5" w:rsidR="00756E9F" w:rsidRPr="00B17C24" w:rsidRDefault="00756E9F" w:rsidP="00B17C24">
            <w:pPr>
              <w:spacing w:after="0" w:line="240" w:lineRule="auto"/>
              <w:rPr>
                <w:rFonts w:ascii="Times New Roman" w:eastAsia="Calibri" w:hAnsi="Times New Roman"/>
                <w:bCs/>
                <w:noProof/>
                <w:sz w:val="18"/>
                <w:lang w:val="sr-Latn-ME"/>
              </w:rPr>
            </w:pPr>
            <w:r w:rsidRPr="00B17C24">
              <w:rPr>
                <w:rFonts w:ascii="Times New Roman" w:eastAsia="Calibri" w:hAnsi="Times New Roman"/>
                <w:bCs/>
                <w:noProof/>
                <w:sz w:val="18"/>
                <w:lang w:val="sr-Latn-ME"/>
              </w:rPr>
              <w:t>50 uključenih</w:t>
            </w:r>
          </w:p>
        </w:tc>
        <w:tc>
          <w:tcPr>
            <w:tcW w:w="13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2D6F4" w14:textId="45C737DC" w:rsidR="00756E9F" w:rsidRPr="00B17C24" w:rsidRDefault="00756E9F" w:rsidP="00B17C2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7C2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ZZZCG</w:t>
            </w:r>
            <w:r w:rsidR="000E338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–</w:t>
            </w:r>
            <w:r w:rsidRPr="00B17C2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FB117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PJ</w:t>
            </w:r>
            <w:r w:rsidRPr="00B17C2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Nikšić</w:t>
            </w:r>
          </w:p>
        </w:tc>
        <w:tc>
          <w:tcPr>
            <w:tcW w:w="2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2F99" w14:textId="2B7E81AC" w:rsidR="00756E9F" w:rsidRPr="00B17C24" w:rsidRDefault="00756E9F" w:rsidP="00B17C2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B17C2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Od 01.</w:t>
            </w:r>
            <w:r w:rsidR="000E338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B17C2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01.</w:t>
            </w:r>
            <w:r w:rsidR="000E338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B17C2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2024. godine 72 lica je ostv</w:t>
            </w:r>
            <w:r w:rsidR="00FB117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</w:t>
            </w:r>
            <w:r w:rsidRPr="00B17C2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rilo pravo na MOP, od tog broja za 46 je urađen plan aktivacije</w:t>
            </w:r>
          </w:p>
        </w:tc>
        <w:tc>
          <w:tcPr>
            <w:tcW w:w="1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DC12" w14:textId="06B98581" w:rsidR="00756E9F" w:rsidRPr="00B17C24" w:rsidRDefault="00756E9F" w:rsidP="00B17C2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B17C2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ZZZCG, Ministarstvo rada i socijalnog staranja, EU </w:t>
            </w:r>
            <w:r w:rsidRPr="00B17C2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lastRenderedPageBreak/>
              <w:t>partnerske službe i NVO</w:t>
            </w:r>
          </w:p>
        </w:tc>
        <w:tc>
          <w:tcPr>
            <w:tcW w:w="1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700F" w14:textId="330227F2" w:rsidR="00756E9F" w:rsidRPr="001C320C" w:rsidRDefault="00756E9F" w:rsidP="00B17C24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B17C2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lastRenderedPageBreak/>
              <w:t>Realizovano I–IV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DD0792" w14:textId="648BBA0D" w:rsidR="00756E9F" w:rsidRPr="00B17C24" w:rsidRDefault="00756E9F" w:rsidP="00B17C2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  <w:p w14:paraId="72BBC42B" w14:textId="61285D2F" w:rsidR="00756E9F" w:rsidRPr="00B17C24" w:rsidRDefault="00756E9F" w:rsidP="006911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</w:tc>
      </w:tr>
      <w:tr w:rsidR="00756E9F" w:rsidRPr="00B17C24" w14:paraId="398A4C62" w14:textId="77777777" w:rsidTr="00756E9F">
        <w:tc>
          <w:tcPr>
            <w:tcW w:w="2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55A2C" w14:textId="77777777" w:rsidR="00756E9F" w:rsidRPr="00B17C24" w:rsidRDefault="00756E9F" w:rsidP="00B17C24">
            <w:pPr>
              <w:rPr>
                <w:rFonts w:ascii="Times New Roman" w:hAnsi="Times New Roman"/>
                <w:sz w:val="18"/>
                <w:lang w:val="bs-Latn-BA"/>
              </w:rPr>
            </w:pPr>
            <w:r w:rsidRPr="00B17C24">
              <w:rPr>
                <w:rFonts w:ascii="Times New Roman" w:hAnsi="Times New Roman"/>
                <w:sz w:val="18"/>
                <w:lang w:val="bs-Latn-BA"/>
              </w:rPr>
              <w:t>4.2. Sprovođenje mjera i aktivnosti profesionalne rehabilitacije lica sa invaliditetom</w:t>
            </w:r>
          </w:p>
          <w:p w14:paraId="42EA3B01" w14:textId="77777777" w:rsidR="00756E9F" w:rsidRPr="00B17C24" w:rsidRDefault="00756E9F" w:rsidP="00B17C2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8010" w14:textId="1950F1C6" w:rsidR="00756E9F" w:rsidRPr="00B17C24" w:rsidRDefault="00756E9F" w:rsidP="00B17C2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B17C2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Lica sa invaliditetom (ZZZCG)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697FE" w14:textId="77777777" w:rsidR="00756E9F" w:rsidRPr="00B17C24" w:rsidRDefault="00756E9F" w:rsidP="00B17C24">
            <w:pPr>
              <w:spacing w:after="0" w:line="240" w:lineRule="auto"/>
              <w:rPr>
                <w:rFonts w:ascii="Times New Roman" w:hAnsi="Times New Roman"/>
                <w:sz w:val="18"/>
                <w:lang w:val="bs-Latn-BA"/>
              </w:rPr>
            </w:pPr>
            <w:r w:rsidRPr="00B17C24">
              <w:rPr>
                <w:rFonts w:ascii="Times New Roman" w:hAnsi="Times New Roman"/>
                <w:sz w:val="18"/>
                <w:lang w:val="bs-Latn-BA"/>
              </w:rPr>
              <w:t>Smanjenje nezaposlenosti i unapređenje njihovog položaja u društvu</w:t>
            </w:r>
          </w:p>
          <w:p w14:paraId="7DDB21BE" w14:textId="77777777" w:rsidR="00756E9F" w:rsidRPr="00B17C24" w:rsidRDefault="00756E9F" w:rsidP="00B17C24">
            <w:pPr>
              <w:spacing w:after="0" w:line="240" w:lineRule="auto"/>
              <w:rPr>
                <w:rFonts w:ascii="Times New Roman" w:eastAsia="Calibri" w:hAnsi="Times New Roman"/>
                <w:b/>
                <w:noProof/>
                <w:sz w:val="18"/>
                <w:lang w:val="sr-Latn-ME"/>
              </w:rPr>
            </w:pPr>
          </w:p>
          <w:p w14:paraId="5BCBB276" w14:textId="730FF6D0" w:rsidR="00756E9F" w:rsidRPr="00B17C24" w:rsidRDefault="00756E9F" w:rsidP="00B17C24">
            <w:pPr>
              <w:spacing w:after="0" w:line="240" w:lineRule="auto"/>
              <w:rPr>
                <w:rFonts w:ascii="Times New Roman" w:eastAsia="Calibri" w:hAnsi="Times New Roman"/>
                <w:bCs/>
                <w:noProof/>
                <w:sz w:val="18"/>
                <w:lang w:val="sr-Latn-ME"/>
              </w:rPr>
            </w:pPr>
            <w:r w:rsidRPr="00B17C24">
              <w:rPr>
                <w:rFonts w:ascii="Times New Roman" w:eastAsia="Calibri" w:hAnsi="Times New Roman"/>
                <w:bCs/>
                <w:noProof/>
                <w:sz w:val="18"/>
                <w:lang w:val="sr-Latn-ME"/>
              </w:rPr>
              <w:t>30 lica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521A" w14:textId="22AE5E0A" w:rsidR="00756E9F" w:rsidRPr="00B17C24" w:rsidRDefault="00756E9F" w:rsidP="00B17C2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7C2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ZZZCG</w:t>
            </w:r>
            <w:r w:rsidR="000E338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–</w:t>
            </w:r>
            <w:r w:rsidRPr="00B17C2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FB117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PJ</w:t>
            </w:r>
            <w:r w:rsidRPr="00B17C2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Nikšić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853D" w14:textId="517452E1" w:rsidR="00756E9F" w:rsidRPr="00B17C24" w:rsidRDefault="00756E9F" w:rsidP="00B17C2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B17C2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Uključeno 65 lica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4E2D" w14:textId="40B15830" w:rsidR="00756E9F" w:rsidRPr="00B17C24" w:rsidRDefault="00756E9F" w:rsidP="00B17C2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B17C2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Fond za profesionalnu rehabilitaciju</w:t>
            </w:r>
            <w:r w:rsidR="008063B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OSI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E618" w14:textId="74C34ED2" w:rsidR="00756E9F" w:rsidRPr="001C320C" w:rsidRDefault="00756E9F" w:rsidP="00B17C2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7C24">
              <w:rPr>
                <w:rFonts w:ascii="Times New Roman" w:hAnsi="Times New Roman" w:cs="Times New Roman"/>
                <w:sz w:val="18"/>
                <w:szCs w:val="18"/>
              </w:rPr>
              <w:t>Realizovano</w:t>
            </w:r>
            <w:proofErr w:type="spellEnd"/>
            <w:r w:rsidRPr="00B17C24">
              <w:rPr>
                <w:rFonts w:ascii="Times New Roman" w:hAnsi="Times New Roman" w:cs="Times New Roman"/>
                <w:sz w:val="18"/>
                <w:szCs w:val="18"/>
              </w:rPr>
              <w:t xml:space="preserve"> I–IV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1CA08E" w14:textId="0A75B834" w:rsidR="00756E9F" w:rsidRPr="00B17C24" w:rsidRDefault="00756E9F" w:rsidP="00B17C2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  <w:p w14:paraId="35EF5485" w14:textId="62F274BF" w:rsidR="00756E9F" w:rsidRPr="00B17C24" w:rsidRDefault="00756E9F" w:rsidP="00B17C2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</w:tc>
      </w:tr>
      <w:tr w:rsidR="00756E9F" w:rsidRPr="00B17C24" w14:paraId="57EF16BD" w14:textId="77777777" w:rsidTr="00756E9F">
        <w:tc>
          <w:tcPr>
            <w:tcW w:w="2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D8BD" w14:textId="77777777" w:rsidR="00756E9F" w:rsidRPr="00B17C24" w:rsidRDefault="00756E9F" w:rsidP="00B17C24">
            <w:pPr>
              <w:rPr>
                <w:rFonts w:ascii="Times New Roman" w:hAnsi="Times New Roman"/>
                <w:sz w:val="18"/>
                <w:lang w:val="bs-Latn-BA"/>
              </w:rPr>
            </w:pPr>
            <w:r w:rsidRPr="00B17C24">
              <w:rPr>
                <w:rFonts w:ascii="Times New Roman" w:hAnsi="Times New Roman"/>
                <w:sz w:val="18"/>
                <w:lang w:val="bs-Latn-BA"/>
              </w:rPr>
              <w:t>4.3.1. Uključivanje pripadnika RE populacije u programe obrazovanja i osposobljavanja ZZZCG</w:t>
            </w:r>
          </w:p>
          <w:p w14:paraId="09A10BD2" w14:textId="77777777" w:rsidR="00756E9F" w:rsidRPr="00B17C24" w:rsidRDefault="00756E9F" w:rsidP="00B17C2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1DF5" w14:textId="2B94BC8D" w:rsidR="00756E9F" w:rsidRPr="00B17C24" w:rsidRDefault="00756E9F" w:rsidP="00B17C2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B17C2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Pripadnici RE populacije prijavljeni na evidenciji Biroa rada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A71B" w14:textId="77777777" w:rsidR="00756E9F" w:rsidRPr="00B17C24" w:rsidRDefault="00756E9F" w:rsidP="00B17C24">
            <w:pPr>
              <w:spacing w:after="0" w:line="240" w:lineRule="auto"/>
              <w:rPr>
                <w:rFonts w:ascii="Times New Roman" w:hAnsi="Times New Roman"/>
                <w:sz w:val="18"/>
                <w:lang w:val="bs-Latn-BA"/>
              </w:rPr>
            </w:pPr>
            <w:r w:rsidRPr="00B17C24">
              <w:rPr>
                <w:rFonts w:ascii="Times New Roman" w:hAnsi="Times New Roman"/>
                <w:sz w:val="18"/>
                <w:lang w:val="bs-Latn-BA"/>
              </w:rPr>
              <w:t>Smanjenje nezaposlenosti i unapređenje njihovog položaja u društvu</w:t>
            </w:r>
          </w:p>
          <w:p w14:paraId="09AA220E" w14:textId="77777777" w:rsidR="00756E9F" w:rsidRPr="00B17C24" w:rsidRDefault="00756E9F" w:rsidP="00B17C24">
            <w:pPr>
              <w:spacing w:after="0" w:line="240" w:lineRule="auto"/>
              <w:rPr>
                <w:rFonts w:ascii="Times New Roman" w:eastAsia="Calibri" w:hAnsi="Times New Roman"/>
                <w:noProof/>
                <w:sz w:val="18"/>
                <w:lang w:val="sr-Latn-ME"/>
              </w:rPr>
            </w:pPr>
          </w:p>
          <w:p w14:paraId="303CE8FE" w14:textId="0E4D45FC" w:rsidR="00756E9F" w:rsidRPr="00B17C24" w:rsidRDefault="00756E9F" w:rsidP="00B17C24">
            <w:pPr>
              <w:spacing w:after="0" w:line="240" w:lineRule="auto"/>
              <w:rPr>
                <w:rFonts w:ascii="Times New Roman" w:eastAsia="Calibri" w:hAnsi="Times New Roman"/>
                <w:noProof/>
                <w:sz w:val="18"/>
                <w:lang w:val="sr-Latn-ME"/>
              </w:rPr>
            </w:pPr>
            <w:r w:rsidRPr="00B17C24">
              <w:rPr>
                <w:rFonts w:ascii="Times New Roman" w:eastAsia="Calibri" w:hAnsi="Times New Roman"/>
                <w:noProof/>
                <w:sz w:val="18"/>
                <w:lang w:val="sr-Latn-ME"/>
              </w:rPr>
              <w:t>5 lica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1977" w14:textId="480C9650" w:rsidR="00756E9F" w:rsidRPr="00B17C24" w:rsidRDefault="00756E9F" w:rsidP="00B17C2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B17C2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ZZZCG</w:t>
            </w:r>
            <w:r w:rsidR="000E338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–</w:t>
            </w:r>
            <w:r w:rsidRPr="00B17C2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Biro rada Nikšić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B5C1" w14:textId="5600269D" w:rsidR="00756E9F" w:rsidRPr="00E41F6D" w:rsidRDefault="00756E9F" w:rsidP="00E41F6D">
            <w:pPr>
              <w:rPr>
                <w:rFonts w:ascii="Times New Roman" w:hAnsi="Times New Roman"/>
                <w:color w:val="000000"/>
                <w:sz w:val="18"/>
                <w:lang w:val="hr-HR"/>
              </w:rPr>
            </w:pPr>
            <w:r w:rsidRPr="00B17C24">
              <w:rPr>
                <w:rFonts w:ascii="Times New Roman" w:hAnsi="Times New Roman"/>
                <w:color w:val="000000"/>
                <w:sz w:val="18"/>
                <w:lang w:val="hr-HR"/>
              </w:rPr>
              <w:t>Broj uključenih lica preko ZZZCG</w:t>
            </w:r>
            <w:r w:rsidR="000E338E">
              <w:rPr>
                <w:rFonts w:ascii="Times New Roman" w:hAnsi="Times New Roman"/>
                <w:color w:val="000000"/>
                <w:sz w:val="18"/>
                <w:lang w:val="hr-HR"/>
              </w:rPr>
              <w:t xml:space="preserve"> –</w:t>
            </w:r>
            <w:r w:rsidRPr="00B17C24">
              <w:rPr>
                <w:rFonts w:ascii="Times New Roman" w:hAnsi="Times New Roman"/>
                <w:color w:val="000000"/>
                <w:sz w:val="18"/>
                <w:lang w:val="hr-HR"/>
              </w:rPr>
              <w:t xml:space="preserve"> PJ Nikšić</w:t>
            </w:r>
            <w:r w:rsidR="000E338E">
              <w:rPr>
                <w:rFonts w:ascii="Times New Roman" w:hAnsi="Times New Roman"/>
                <w:color w:val="000000"/>
                <w:sz w:val="18"/>
                <w:lang w:val="hr-HR"/>
              </w:rPr>
              <w:t xml:space="preserve"> – 3</w:t>
            </w:r>
            <w:r w:rsidRPr="00B17C24">
              <w:rPr>
                <w:rFonts w:ascii="Times New Roman" w:hAnsi="Times New Roman"/>
                <w:color w:val="000000"/>
                <w:sz w:val="18"/>
                <w:lang w:val="hr-HR"/>
              </w:rPr>
              <w:t>, dva lica su uključena u javni rad, a jedno lice je angažovano kao medijator u Birou rada, u saradnji sa Minista</w:t>
            </w:r>
            <w:r w:rsidR="00DE778E">
              <w:rPr>
                <w:rFonts w:ascii="Times New Roman" w:hAnsi="Times New Roman"/>
                <w:color w:val="000000"/>
                <w:sz w:val="18"/>
                <w:lang w:val="hr-HR"/>
              </w:rPr>
              <w:t>r</w:t>
            </w:r>
            <w:r w:rsidRPr="00B17C24">
              <w:rPr>
                <w:rFonts w:ascii="Times New Roman" w:hAnsi="Times New Roman"/>
                <w:color w:val="000000"/>
                <w:sz w:val="18"/>
                <w:lang w:val="hr-HR"/>
              </w:rPr>
              <w:t xml:space="preserve">stvom ljudskih i manjinskih prava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B0EA" w14:textId="1988C44B" w:rsidR="00756E9F" w:rsidRPr="00B17C24" w:rsidRDefault="00756E9F" w:rsidP="00B17C2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B17C2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ZZZCG, fondovi, ministarstva, EU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8C7F7" w14:textId="03B3BB50" w:rsidR="00756E9F" w:rsidRPr="001C320C" w:rsidRDefault="00756E9F" w:rsidP="00B17C2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7C24">
              <w:rPr>
                <w:rFonts w:ascii="Times New Roman" w:hAnsi="Times New Roman" w:cs="Times New Roman"/>
                <w:sz w:val="18"/>
                <w:szCs w:val="18"/>
              </w:rPr>
              <w:t>Realizovano</w:t>
            </w:r>
            <w:proofErr w:type="spellEnd"/>
            <w:r w:rsidRPr="00B17C24">
              <w:rPr>
                <w:rFonts w:ascii="Times New Roman" w:hAnsi="Times New Roman" w:cs="Times New Roman"/>
                <w:sz w:val="18"/>
                <w:szCs w:val="18"/>
              </w:rPr>
              <w:t xml:space="preserve"> I–IV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D0BBDDF" w14:textId="4F35EDD9" w:rsidR="00756E9F" w:rsidRPr="00B17C24" w:rsidRDefault="00756E9F" w:rsidP="00B17C2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  <w:p w14:paraId="7C5159CD" w14:textId="3ACFC143" w:rsidR="00756E9F" w:rsidRPr="00B17C24" w:rsidRDefault="00756E9F" w:rsidP="00B17C2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</w:tc>
      </w:tr>
      <w:tr w:rsidR="00F01D52" w:rsidRPr="00B17C24" w14:paraId="2F4906E8" w14:textId="77777777" w:rsidTr="00B26000">
        <w:trPr>
          <w:trHeight w:val="1469"/>
        </w:trPr>
        <w:tc>
          <w:tcPr>
            <w:tcW w:w="265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A4847E0" w14:textId="4DCD194E" w:rsidR="00F01D52" w:rsidRPr="00B17C24" w:rsidRDefault="00F01D52" w:rsidP="00B17C2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B17C2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4.3.2. Uključivanje pripadnika RE populacije u programe obrazovanja i osposobljavanja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A0F7B" w14:textId="546A8E1D" w:rsidR="00F01D52" w:rsidRPr="00B17C24" w:rsidRDefault="00F01D52" w:rsidP="00B17C2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B17C2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Pripadnici RE populacije iz Nikšića sa navršenih 18 godina koji nemaju položen vozački ispit i nalaze se u tranzicionom procesu ka tržištu rada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09084" w14:textId="68A3AB0A" w:rsidR="00F01D52" w:rsidRPr="00B17C24" w:rsidRDefault="00F01D52" w:rsidP="00B17C24">
            <w:pPr>
              <w:spacing w:after="0" w:line="240" w:lineRule="auto"/>
              <w:rPr>
                <w:rFonts w:ascii="Times New Roman" w:eastAsia="Calibri" w:hAnsi="Times New Roman"/>
                <w:b/>
                <w:noProof/>
                <w:sz w:val="18"/>
                <w:lang w:val="sr-Latn-ME"/>
              </w:rPr>
            </w:pPr>
            <w:r w:rsidRPr="00B17C24">
              <w:rPr>
                <w:rFonts w:ascii="Times New Roman" w:hAnsi="Times New Roman"/>
                <w:sz w:val="18"/>
                <w:lang w:val="bs-Latn-BA"/>
              </w:rPr>
              <w:t>10 lica učestvovalo u „Programu plaćene obuke za polaganje vozačkog ispita za pripadnike RE populacije iz Nikšića – #solveRE2023“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0EEB" w14:textId="77777777" w:rsidR="00F01D52" w:rsidRPr="00B17C24" w:rsidRDefault="00F01D52" w:rsidP="00B17C24">
            <w:pPr>
              <w:rPr>
                <w:rFonts w:ascii="Times New Roman" w:hAnsi="Times New Roman"/>
                <w:sz w:val="18"/>
                <w:lang w:val="bs-Latn-BA"/>
              </w:rPr>
            </w:pPr>
            <w:r w:rsidRPr="00B17C24">
              <w:rPr>
                <w:rFonts w:ascii="Times New Roman" w:hAnsi="Times New Roman"/>
                <w:sz w:val="18"/>
                <w:lang w:val="bs-Latn-BA"/>
              </w:rPr>
              <w:t xml:space="preserve">NVO Alfa centar </w:t>
            </w:r>
          </w:p>
          <w:p w14:paraId="4E7BBA6E" w14:textId="77777777" w:rsidR="00F01D52" w:rsidRDefault="00F01D52" w:rsidP="00B17C24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0CE87526" w14:textId="77777777" w:rsidR="00F01D52" w:rsidRDefault="00F01D52" w:rsidP="00B17C24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379DAA59" w14:textId="77777777" w:rsidR="00F01D52" w:rsidRDefault="00F01D52" w:rsidP="00B17C24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3AAABA32" w14:textId="77777777" w:rsidR="00F01D52" w:rsidRDefault="00F01D52" w:rsidP="00B17C24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7F24DF95" w14:textId="0B9AAB82" w:rsidR="00F01D52" w:rsidRPr="00B17C24" w:rsidRDefault="00F01D52" w:rsidP="00B17C2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083E" w14:textId="77777777" w:rsidR="00F01D52" w:rsidRPr="00B17C24" w:rsidRDefault="00F01D52" w:rsidP="00B17C24">
            <w:pPr>
              <w:rPr>
                <w:rFonts w:ascii="Times New Roman" w:hAnsi="Times New Roman"/>
                <w:sz w:val="18"/>
                <w:lang w:val="bs-Latn-BA"/>
              </w:rPr>
            </w:pPr>
            <w:r w:rsidRPr="00B17C24">
              <w:rPr>
                <w:rFonts w:ascii="Times New Roman" w:hAnsi="Times New Roman"/>
                <w:sz w:val="18"/>
                <w:lang w:val="bs-Latn-BA"/>
              </w:rPr>
              <w:t>Za 8 pripadnika RE plaćena je obuka i polaganje vozačkog ispita</w:t>
            </w:r>
          </w:p>
          <w:p w14:paraId="44A249D8" w14:textId="23DE1049" w:rsidR="00F01D52" w:rsidRPr="001E052B" w:rsidRDefault="00F01D52" w:rsidP="00B17C24">
            <w:pPr>
              <w:rPr>
                <w:rFonts w:ascii="Times New Roman" w:hAnsi="Times New Roman"/>
                <w:sz w:val="18"/>
                <w:lang w:val="bs-Latn-BA"/>
              </w:rPr>
            </w:pPr>
            <w:r w:rsidRPr="00B17C24">
              <w:rPr>
                <w:rFonts w:ascii="Times New Roman" w:hAnsi="Times New Roman"/>
                <w:sz w:val="18"/>
                <w:lang w:val="bs-Latn-BA"/>
              </w:rPr>
              <w:t>Za 4 lica je omogućeno plaćeno stažiranje u trajanju od 4 mjeseca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2766" w14:textId="77777777" w:rsidR="00F01D52" w:rsidRDefault="00F01D52" w:rsidP="00B17C24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B17C2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Ministarstvo ljudskih i manjinskih prava Crne Gore</w:t>
            </w:r>
          </w:p>
          <w:p w14:paraId="2ED472FF" w14:textId="77777777" w:rsidR="00F01D52" w:rsidRDefault="00F01D52" w:rsidP="00B17C2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  <w:p w14:paraId="3C42A926" w14:textId="77777777" w:rsidR="00F01D52" w:rsidRDefault="00F01D52" w:rsidP="00B17C2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  <w:p w14:paraId="054C53EF" w14:textId="77777777" w:rsidR="00F01D52" w:rsidRDefault="00F01D52" w:rsidP="00B17C24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</w:p>
          <w:p w14:paraId="20F7C0E8" w14:textId="7C88A5C6" w:rsidR="00F01D52" w:rsidRPr="001D31A7" w:rsidRDefault="00F01D52" w:rsidP="00B17C24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4B29" w14:textId="2125AAA1" w:rsidR="00F01D52" w:rsidRPr="001C320C" w:rsidRDefault="00F01D52" w:rsidP="00B17C2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7C24">
              <w:rPr>
                <w:rFonts w:ascii="Times New Roman" w:hAnsi="Times New Roman" w:cs="Times New Roman"/>
                <w:sz w:val="18"/>
                <w:szCs w:val="18"/>
              </w:rPr>
              <w:t>Realizovano</w:t>
            </w:r>
            <w:proofErr w:type="spellEnd"/>
            <w:r w:rsidRPr="00B17C24">
              <w:rPr>
                <w:rFonts w:ascii="Times New Roman" w:hAnsi="Times New Roman" w:cs="Times New Roman"/>
                <w:sz w:val="18"/>
                <w:szCs w:val="18"/>
              </w:rPr>
              <w:t xml:space="preserve"> II–IV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9EC5183" w14:textId="19D27B45" w:rsidR="00F01D52" w:rsidRPr="00B17C24" w:rsidRDefault="00F01D52" w:rsidP="00B17C2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  <w:p w14:paraId="6155AFE0" w14:textId="1ABB2DA3" w:rsidR="00F01D52" w:rsidRPr="00B17C24" w:rsidRDefault="00F01D52" w:rsidP="00B17C2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</w:tc>
      </w:tr>
      <w:tr w:rsidR="00F01D52" w:rsidRPr="00B17C24" w14:paraId="184DE121" w14:textId="77777777" w:rsidTr="00B26000">
        <w:trPr>
          <w:trHeight w:val="1678"/>
        </w:trPr>
        <w:tc>
          <w:tcPr>
            <w:tcW w:w="265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3E83" w14:textId="77777777" w:rsidR="00F01D52" w:rsidRPr="00B17C24" w:rsidRDefault="00F01D52" w:rsidP="00B17C24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0F5E" w14:textId="77777777" w:rsidR="00F01D52" w:rsidRPr="00B17C24" w:rsidRDefault="00F01D52" w:rsidP="00B17C24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B5294" w14:textId="77777777" w:rsidR="00F01D52" w:rsidRPr="00B17C24" w:rsidRDefault="00F01D52" w:rsidP="00B17C24">
            <w:pPr>
              <w:spacing w:after="0" w:line="240" w:lineRule="auto"/>
              <w:rPr>
                <w:rFonts w:ascii="Times New Roman" w:hAnsi="Times New Roman"/>
                <w:sz w:val="18"/>
                <w:lang w:val="bs-Latn-B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D1E8" w14:textId="77777777" w:rsidR="00F01D52" w:rsidRPr="00B17C24" w:rsidRDefault="00F01D52" w:rsidP="00F01D52">
            <w:pPr>
              <w:pStyle w:val="Default"/>
              <w:rPr>
                <w:rFonts w:ascii="Times New Roman" w:hAnsi="Times New Roman"/>
                <w:sz w:val="18"/>
                <w:lang w:val="bs-Latn-BA"/>
              </w:rPr>
            </w:pPr>
            <w:r w:rsidRPr="00B17C2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Opština Nikšić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7877" w14:textId="13E7E6CB" w:rsidR="00F01D52" w:rsidRPr="00B17C24" w:rsidRDefault="00281D24" w:rsidP="00F01D52">
            <w:pPr>
              <w:rPr>
                <w:rFonts w:ascii="Times New Roman" w:hAnsi="Times New Roman"/>
                <w:sz w:val="18"/>
                <w:lang w:val="bs-Latn-BA"/>
              </w:rPr>
            </w:pPr>
            <w:r>
              <w:rPr>
                <w:rFonts w:ascii="Times New Roman" w:hAnsi="Times New Roman"/>
                <w:sz w:val="18"/>
                <w:lang w:val="bs-Latn-BA"/>
              </w:rPr>
              <w:t>K</w:t>
            </w:r>
            <w:r w:rsidR="00F01D52" w:rsidRPr="00B17C24">
              <w:rPr>
                <w:rFonts w:ascii="Times New Roman" w:hAnsi="Times New Roman"/>
                <w:sz w:val="18"/>
                <w:lang w:val="bs-Latn-BA"/>
              </w:rPr>
              <w:t xml:space="preserve">roz program ROMACTED 3 lica su bila na obuci na radnom mjestu </w:t>
            </w:r>
            <w:r w:rsidR="00F01D52">
              <w:rPr>
                <w:rFonts w:ascii="Times New Roman" w:hAnsi="Times New Roman"/>
                <w:sz w:val="18"/>
                <w:lang w:val="bs-Latn-BA"/>
              </w:rPr>
              <w:t>2</w:t>
            </w:r>
            <w:r w:rsidR="00F01D52" w:rsidRPr="00B17C24">
              <w:rPr>
                <w:rFonts w:ascii="Times New Roman" w:hAnsi="Times New Roman"/>
                <w:sz w:val="18"/>
                <w:lang w:val="bs-Latn-BA"/>
              </w:rPr>
              <w:t xml:space="preserve"> mjeseca (administrativni poslovi i kancelarijsko poslovanje)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3624" w14:textId="03D25178" w:rsidR="00F01D52" w:rsidRPr="00B17C24" w:rsidRDefault="00F01D52" w:rsidP="00F01D52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1D31A7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Donator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 xml:space="preserve"> (EU i Savjet Evrope)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BAC70" w14:textId="05DF5DDD" w:rsidR="00F01D52" w:rsidRPr="00B17C24" w:rsidRDefault="00F01D52" w:rsidP="00B17C2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1D52">
              <w:rPr>
                <w:rFonts w:ascii="Times New Roman" w:hAnsi="Times New Roman" w:cs="Times New Roman"/>
                <w:sz w:val="18"/>
                <w:szCs w:val="18"/>
              </w:rPr>
              <w:t>Realizovano</w:t>
            </w:r>
            <w:proofErr w:type="spellEnd"/>
            <w:r w:rsidRPr="00F01D52">
              <w:rPr>
                <w:rFonts w:ascii="Times New Roman" w:hAnsi="Times New Roman" w:cs="Times New Roman"/>
                <w:sz w:val="18"/>
                <w:szCs w:val="18"/>
              </w:rPr>
              <w:t xml:space="preserve"> II–IV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35328B8" w14:textId="140AC2D6" w:rsidR="00F01D52" w:rsidRPr="00F01D52" w:rsidRDefault="00F01D52" w:rsidP="00B17C24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</w:pPr>
            <w:r w:rsidRPr="00F01D52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 xml:space="preserve">Ukupan trošak iznosio </w:t>
            </w:r>
            <w:r w:rsidR="00040D1C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 xml:space="preserve">je </w:t>
            </w:r>
            <w:r w:rsidRPr="00F01D52"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 xml:space="preserve">1.820,00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it-IT"/>
              </w:rPr>
              <w:t>€</w:t>
            </w:r>
          </w:p>
        </w:tc>
      </w:tr>
      <w:tr w:rsidR="00756E9F" w:rsidRPr="00B17C24" w14:paraId="0FCE191C" w14:textId="77777777" w:rsidTr="00756E9F">
        <w:tc>
          <w:tcPr>
            <w:tcW w:w="26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C6A7" w14:textId="16F6CB34" w:rsidR="00756E9F" w:rsidRPr="00B17C24" w:rsidRDefault="00756E9F" w:rsidP="00B17C2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B17C2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4.4. Javni radovi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BC61" w14:textId="14DE4F81" w:rsidR="00756E9F" w:rsidRPr="00B17C24" w:rsidRDefault="00756E9F" w:rsidP="00B17C2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B17C2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Teže zapošljiva lica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E8232" w14:textId="1B0758F8" w:rsidR="00756E9F" w:rsidRPr="00B17C24" w:rsidRDefault="00756E9F" w:rsidP="00B17C24">
            <w:pPr>
              <w:spacing w:after="0" w:line="240" w:lineRule="auto"/>
              <w:rPr>
                <w:rFonts w:ascii="Times New Roman" w:eastAsia="Calibri" w:hAnsi="Times New Roman"/>
                <w:b/>
                <w:noProof/>
                <w:sz w:val="18"/>
                <w:lang w:val="sr-Latn-ME"/>
              </w:rPr>
            </w:pPr>
            <w:r w:rsidRPr="00B17C24">
              <w:rPr>
                <w:rFonts w:ascii="Times New Roman" w:hAnsi="Times New Roman"/>
                <w:sz w:val="18"/>
                <w:lang w:val="bs-Latn-BA"/>
              </w:rPr>
              <w:t>45–50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9168" w14:textId="14655574" w:rsidR="00756E9F" w:rsidRPr="00B17C24" w:rsidRDefault="00756E9F" w:rsidP="00B17C2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7C2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ZZZCG</w:t>
            </w:r>
            <w:r w:rsidR="000E338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–</w:t>
            </w:r>
            <w:r w:rsidRPr="00B17C2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FB117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PJ</w:t>
            </w:r>
            <w:r w:rsidRPr="00B17C2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Nikšić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0312" w14:textId="68CF5FD0" w:rsidR="00756E9F" w:rsidRPr="00B17C24" w:rsidRDefault="00756E9F" w:rsidP="00B17C2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B17C2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Uključen</w:t>
            </w:r>
            <w:r w:rsidR="00F744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</w:t>
            </w:r>
            <w:r w:rsidRPr="00B17C2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43 lica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A9D89" w14:textId="5A01D6E5" w:rsidR="00756E9F" w:rsidRPr="00B17C24" w:rsidRDefault="00756E9F" w:rsidP="00B17C2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B17C2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ZZZCG, fondovi, ministarstva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5C00" w14:textId="51EFE87F" w:rsidR="00756E9F" w:rsidRPr="00B17C24" w:rsidRDefault="00756E9F" w:rsidP="00B17C2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B17C2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Realizovano I–IV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FE8C4AE" w14:textId="77777777" w:rsidR="00756E9F" w:rsidRPr="00B17C24" w:rsidRDefault="00756E9F" w:rsidP="00B17C2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</w:tc>
      </w:tr>
      <w:tr w:rsidR="00756E9F" w:rsidRPr="00B17C24" w14:paraId="4CED21C8" w14:textId="77777777" w:rsidTr="00756E9F">
        <w:tc>
          <w:tcPr>
            <w:tcW w:w="26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B2E4061" w14:textId="6D53FCB2" w:rsidR="00756E9F" w:rsidRPr="00B17C24" w:rsidRDefault="00756E9F" w:rsidP="00B17C2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B17C2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4.5. Program podrške za mlade iz NEET kategorije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868BA14" w14:textId="4A122BD4" w:rsidR="00756E9F" w:rsidRPr="00B17C24" w:rsidRDefault="00756E9F" w:rsidP="00B17C2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B17C2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NEET – mladi koji nijesu zaposleni, niti u procesu obrazovanja ili obuke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4B78063" w14:textId="5930D0C3" w:rsidR="00756E9F" w:rsidRPr="00BC4D9E" w:rsidRDefault="00756E9F" w:rsidP="00BC4D9E">
            <w:pPr>
              <w:rPr>
                <w:rFonts w:ascii="Times New Roman" w:hAnsi="Times New Roman"/>
                <w:sz w:val="18"/>
              </w:rPr>
            </w:pPr>
            <w:proofErr w:type="spellStart"/>
            <w:r w:rsidRPr="00B17C24">
              <w:rPr>
                <w:rFonts w:ascii="Times New Roman" w:hAnsi="Times New Roman"/>
                <w:sz w:val="18"/>
              </w:rPr>
              <w:t>Najmanje</w:t>
            </w:r>
            <w:proofErr w:type="spellEnd"/>
            <w:r w:rsidRPr="00B17C24">
              <w:rPr>
                <w:rFonts w:ascii="Times New Roman" w:hAnsi="Times New Roman"/>
                <w:sz w:val="18"/>
              </w:rPr>
              <w:t xml:space="preserve"> 20 </w:t>
            </w:r>
            <w:proofErr w:type="spellStart"/>
            <w:r w:rsidRPr="00B17C24">
              <w:rPr>
                <w:rFonts w:ascii="Times New Roman" w:hAnsi="Times New Roman"/>
                <w:sz w:val="18"/>
              </w:rPr>
              <w:t>mladih</w:t>
            </w:r>
            <w:proofErr w:type="spellEnd"/>
            <w:r w:rsidRPr="00B17C24">
              <w:rPr>
                <w:rFonts w:ascii="Times New Roman" w:hAnsi="Times New Roman"/>
                <w:sz w:val="18"/>
              </w:rPr>
              <w:t xml:space="preserve"> NEET </w:t>
            </w:r>
            <w:proofErr w:type="spellStart"/>
            <w:r w:rsidRPr="00B17C24">
              <w:rPr>
                <w:rFonts w:ascii="Times New Roman" w:hAnsi="Times New Roman"/>
                <w:sz w:val="18"/>
              </w:rPr>
              <w:t>uključeno</w:t>
            </w:r>
            <w:proofErr w:type="spellEnd"/>
            <w:r w:rsidRPr="00B17C24">
              <w:rPr>
                <w:rFonts w:ascii="Times New Roman" w:hAnsi="Times New Roman"/>
                <w:sz w:val="18"/>
              </w:rPr>
              <w:t xml:space="preserve"> u </w:t>
            </w:r>
            <w:proofErr w:type="spellStart"/>
            <w:r w:rsidRPr="00B17C24">
              <w:rPr>
                <w:rFonts w:ascii="Times New Roman" w:hAnsi="Times New Roman"/>
                <w:sz w:val="18"/>
              </w:rPr>
              <w:t>programe</w:t>
            </w:r>
            <w:proofErr w:type="spellEnd"/>
            <w:r w:rsidRPr="00B17C24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B17C24">
              <w:rPr>
                <w:rFonts w:ascii="Times New Roman" w:hAnsi="Times New Roman"/>
                <w:sz w:val="18"/>
              </w:rPr>
              <w:t>podrške</w:t>
            </w:r>
            <w:proofErr w:type="spellEnd"/>
            <w:r w:rsidR="00C30D3D">
              <w:rPr>
                <w:rFonts w:ascii="Times New Roman" w:hAnsi="Times New Roman"/>
                <w:sz w:val="18"/>
                <w:lang w:val="sr-Cyrl-RS"/>
              </w:rPr>
              <w:t>,</w:t>
            </w:r>
            <w:r w:rsidRPr="00B17C24">
              <w:rPr>
                <w:rFonts w:ascii="Times New Roman" w:hAnsi="Times New Roman"/>
                <w:sz w:val="18"/>
              </w:rPr>
              <w:t xml:space="preserve"> 20 </w:t>
            </w:r>
            <w:proofErr w:type="spellStart"/>
            <w:r w:rsidRPr="00B17C24">
              <w:rPr>
                <w:rFonts w:ascii="Times New Roman" w:hAnsi="Times New Roman"/>
                <w:sz w:val="18"/>
              </w:rPr>
              <w:t>polaznika</w:t>
            </w:r>
            <w:proofErr w:type="spellEnd"/>
            <w:r w:rsidRPr="00B17C24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B17C24">
              <w:rPr>
                <w:rFonts w:ascii="Times New Roman" w:hAnsi="Times New Roman"/>
                <w:sz w:val="18"/>
              </w:rPr>
              <w:t>tromjesečnog</w:t>
            </w:r>
            <w:proofErr w:type="spellEnd"/>
            <w:r w:rsidRPr="00B17C24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B17C24">
              <w:rPr>
                <w:rFonts w:ascii="Times New Roman" w:hAnsi="Times New Roman"/>
                <w:sz w:val="18"/>
              </w:rPr>
              <w:t>programa</w:t>
            </w:r>
            <w:proofErr w:type="spellEnd"/>
            <w:r w:rsidRPr="00B17C24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B17C24">
              <w:rPr>
                <w:rFonts w:ascii="Times New Roman" w:hAnsi="Times New Roman"/>
                <w:sz w:val="18"/>
              </w:rPr>
              <w:t>obuke</w:t>
            </w:r>
            <w:proofErr w:type="spellEnd"/>
            <w:r w:rsidRPr="00B17C24">
              <w:rPr>
                <w:rFonts w:ascii="Times New Roman" w:hAnsi="Times New Roman"/>
                <w:sz w:val="18"/>
              </w:rPr>
              <w:t xml:space="preserve">, </w:t>
            </w:r>
            <w:r w:rsidRPr="00B17C24">
              <w:rPr>
                <w:rFonts w:ascii="Times New Roman" w:hAnsi="Times New Roman"/>
                <w:sz w:val="18"/>
              </w:rPr>
              <w:lastRenderedPageBreak/>
              <w:t xml:space="preserve">20 </w:t>
            </w:r>
            <w:proofErr w:type="spellStart"/>
            <w:r w:rsidRPr="00B17C24">
              <w:rPr>
                <w:rFonts w:ascii="Times New Roman" w:hAnsi="Times New Roman"/>
                <w:sz w:val="18"/>
              </w:rPr>
              <w:t>polaznika</w:t>
            </w:r>
            <w:proofErr w:type="spellEnd"/>
            <w:r w:rsidRPr="00B17C24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B17C24">
              <w:rPr>
                <w:rFonts w:ascii="Times New Roman" w:hAnsi="Times New Roman"/>
                <w:sz w:val="18"/>
              </w:rPr>
              <w:t>trodnevnog</w:t>
            </w:r>
            <w:proofErr w:type="spellEnd"/>
            <w:r w:rsidRPr="00B17C24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B17C24">
              <w:rPr>
                <w:rFonts w:ascii="Times New Roman" w:hAnsi="Times New Roman"/>
                <w:sz w:val="18"/>
              </w:rPr>
              <w:t>treninga</w:t>
            </w:r>
            <w:proofErr w:type="spellEnd"/>
            <w:r w:rsidRPr="00B17C24">
              <w:rPr>
                <w:rFonts w:ascii="Times New Roman" w:hAnsi="Times New Roman"/>
                <w:sz w:val="18"/>
              </w:rPr>
              <w:t xml:space="preserve"> za </w:t>
            </w:r>
            <w:proofErr w:type="spellStart"/>
            <w:r w:rsidRPr="00B17C24">
              <w:rPr>
                <w:rFonts w:ascii="Times New Roman" w:hAnsi="Times New Roman"/>
                <w:sz w:val="18"/>
              </w:rPr>
              <w:t>izradu</w:t>
            </w:r>
            <w:proofErr w:type="spellEnd"/>
            <w:r w:rsidRPr="00B17C24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B17C24">
              <w:rPr>
                <w:rFonts w:ascii="Times New Roman" w:hAnsi="Times New Roman"/>
                <w:sz w:val="18"/>
              </w:rPr>
              <w:t>projektnih</w:t>
            </w:r>
            <w:proofErr w:type="spellEnd"/>
            <w:r w:rsidRPr="00B17C24">
              <w:rPr>
                <w:rFonts w:ascii="Times New Roman" w:hAnsi="Times New Roman"/>
                <w:sz w:val="18"/>
              </w:rPr>
              <w:t xml:space="preserve"> predloga, 10 </w:t>
            </w:r>
            <w:proofErr w:type="spellStart"/>
            <w:r w:rsidRPr="00B17C24">
              <w:rPr>
                <w:rFonts w:ascii="Times New Roman" w:hAnsi="Times New Roman"/>
                <w:sz w:val="18"/>
              </w:rPr>
              <w:t>polaznika</w:t>
            </w:r>
            <w:proofErr w:type="spellEnd"/>
            <w:r w:rsidRPr="00B17C24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B17C24">
              <w:rPr>
                <w:rFonts w:ascii="Times New Roman" w:hAnsi="Times New Roman"/>
                <w:sz w:val="18"/>
              </w:rPr>
              <w:t>plaćenog</w:t>
            </w:r>
            <w:proofErr w:type="spellEnd"/>
            <w:r w:rsidRPr="00B17C24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B17C24">
              <w:rPr>
                <w:rFonts w:ascii="Times New Roman" w:hAnsi="Times New Roman"/>
                <w:sz w:val="18"/>
              </w:rPr>
              <w:t>tromjesečnog</w:t>
            </w:r>
            <w:proofErr w:type="spellEnd"/>
            <w:r w:rsidRPr="00B17C24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B17C24">
              <w:rPr>
                <w:rFonts w:ascii="Times New Roman" w:hAnsi="Times New Roman"/>
                <w:sz w:val="18"/>
              </w:rPr>
              <w:t>stažiranja</w:t>
            </w:r>
            <w:proofErr w:type="spellEnd"/>
            <w:r w:rsidRPr="00B17C24">
              <w:rPr>
                <w:rFonts w:ascii="Times New Roman" w:hAnsi="Times New Roman"/>
                <w:sz w:val="18"/>
              </w:rPr>
              <w:t xml:space="preserve">, 10 </w:t>
            </w:r>
            <w:proofErr w:type="spellStart"/>
            <w:r w:rsidRPr="00B17C24">
              <w:rPr>
                <w:rFonts w:ascii="Times New Roman" w:hAnsi="Times New Roman"/>
                <w:sz w:val="18"/>
              </w:rPr>
              <w:t>polaznika</w:t>
            </w:r>
            <w:proofErr w:type="spellEnd"/>
            <w:r w:rsidRPr="00B17C24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B17C24">
              <w:rPr>
                <w:rFonts w:ascii="Times New Roman" w:hAnsi="Times New Roman"/>
                <w:sz w:val="18"/>
              </w:rPr>
              <w:t>obuke</w:t>
            </w:r>
            <w:proofErr w:type="spellEnd"/>
            <w:r w:rsidRPr="00B17C24">
              <w:rPr>
                <w:rFonts w:ascii="Times New Roman" w:hAnsi="Times New Roman"/>
                <w:sz w:val="18"/>
              </w:rPr>
              <w:t>/</w:t>
            </w:r>
            <w:proofErr w:type="spellStart"/>
            <w:r w:rsidRPr="00B17C24">
              <w:rPr>
                <w:rFonts w:ascii="Times New Roman" w:hAnsi="Times New Roman"/>
                <w:sz w:val="18"/>
              </w:rPr>
              <w:t>mentorstva</w:t>
            </w:r>
            <w:proofErr w:type="spellEnd"/>
            <w:r w:rsidRPr="00B17C24">
              <w:rPr>
                <w:rFonts w:ascii="Times New Roman" w:hAnsi="Times New Roman"/>
                <w:sz w:val="18"/>
              </w:rPr>
              <w:t xml:space="preserve"> za </w:t>
            </w:r>
            <w:proofErr w:type="spellStart"/>
            <w:r w:rsidRPr="00B17C24">
              <w:rPr>
                <w:rFonts w:ascii="Times New Roman" w:hAnsi="Times New Roman"/>
                <w:sz w:val="18"/>
              </w:rPr>
              <w:t>osnivanje</w:t>
            </w:r>
            <w:proofErr w:type="spellEnd"/>
            <w:r w:rsidRPr="00B17C24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B17C24">
              <w:rPr>
                <w:rFonts w:ascii="Times New Roman" w:hAnsi="Times New Roman"/>
                <w:sz w:val="18"/>
              </w:rPr>
              <w:t>nevladinih</w:t>
            </w:r>
            <w:proofErr w:type="spellEnd"/>
            <w:r w:rsidRPr="00B17C24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B17C24">
              <w:rPr>
                <w:rFonts w:ascii="Times New Roman" w:hAnsi="Times New Roman"/>
                <w:sz w:val="18"/>
              </w:rPr>
              <w:t>organizacija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09A27F1" w14:textId="3D2E71BA" w:rsidR="00756E9F" w:rsidRPr="00B17C24" w:rsidRDefault="00756E9F" w:rsidP="005B4570">
            <w:pPr>
              <w:rPr>
                <w:rFonts w:ascii="Times New Roman" w:hAnsi="Times New Roman"/>
                <w:sz w:val="18"/>
              </w:rPr>
            </w:pPr>
            <w:r w:rsidRPr="00B17C24">
              <w:rPr>
                <w:rFonts w:ascii="Times New Roman" w:hAnsi="Times New Roman"/>
                <w:sz w:val="18"/>
              </w:rPr>
              <w:lastRenderedPageBreak/>
              <w:t>NVO</w:t>
            </w:r>
            <w:r w:rsidR="00040D1C">
              <w:rPr>
                <w:rFonts w:ascii="Times New Roman" w:hAnsi="Times New Roman"/>
                <w:sz w:val="18"/>
              </w:rPr>
              <w:t xml:space="preserve"> Alfa </w:t>
            </w:r>
            <w:proofErr w:type="spellStart"/>
            <w:r w:rsidR="00040D1C">
              <w:rPr>
                <w:rFonts w:ascii="Times New Roman" w:hAnsi="Times New Roman"/>
                <w:sz w:val="18"/>
              </w:rPr>
              <w:t>centar</w:t>
            </w:r>
            <w:proofErr w:type="spellEnd"/>
          </w:p>
          <w:p w14:paraId="5EC517C0" w14:textId="04800A53" w:rsidR="00756E9F" w:rsidRPr="00B17C24" w:rsidRDefault="00756E9F" w:rsidP="00B17C2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CF5BB3C" w14:textId="77777777" w:rsidR="00756E9F" w:rsidRPr="00B17C24" w:rsidRDefault="00756E9F" w:rsidP="00B17C24">
            <w:pPr>
              <w:rPr>
                <w:rFonts w:ascii="Times New Roman" w:hAnsi="Times New Roman"/>
                <w:sz w:val="18"/>
                <w:lang w:val="bs-Latn-BA"/>
              </w:rPr>
            </w:pPr>
            <w:r w:rsidRPr="00B17C24">
              <w:rPr>
                <w:rFonts w:ascii="Times New Roman" w:hAnsi="Times New Roman"/>
                <w:sz w:val="18"/>
                <w:lang w:val="bs-Latn-BA"/>
              </w:rPr>
              <w:t>Uključeno 20 mladih</w:t>
            </w:r>
          </w:p>
          <w:p w14:paraId="4A2D0D05" w14:textId="7CE29250" w:rsidR="00756E9F" w:rsidRPr="00B17C24" w:rsidRDefault="00756E9F" w:rsidP="00B17C2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B17C2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Svi indikatori su ostvareni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3404884" w14:textId="77777777" w:rsidR="00756E9F" w:rsidRPr="00B17C24" w:rsidRDefault="00756E9F" w:rsidP="00B17C24">
            <w:pPr>
              <w:rPr>
                <w:rFonts w:ascii="Times New Roman" w:hAnsi="Times New Roman"/>
                <w:sz w:val="18"/>
                <w:lang w:val="bs-Latn-BA"/>
              </w:rPr>
            </w:pPr>
            <w:r w:rsidRPr="00B17C24">
              <w:rPr>
                <w:rFonts w:ascii="Times New Roman" w:hAnsi="Times New Roman"/>
                <w:sz w:val="18"/>
                <w:lang w:val="bs-Latn-BA"/>
              </w:rPr>
              <w:t>Ministarstvo javne uprave i drugi donatori</w:t>
            </w:r>
          </w:p>
          <w:p w14:paraId="3D5964B7" w14:textId="77777777" w:rsidR="00756E9F" w:rsidRPr="00B17C24" w:rsidRDefault="00756E9F" w:rsidP="00B17C2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979898A" w14:textId="232BC75A" w:rsidR="00756E9F" w:rsidRPr="00B17C24" w:rsidRDefault="00756E9F" w:rsidP="00B17C2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B17C2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Realizovano II–IV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CE99BF" w14:textId="77777777" w:rsidR="00756E9F" w:rsidRPr="00B17C24" w:rsidRDefault="00756E9F" w:rsidP="00B17C2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</w:tc>
      </w:tr>
    </w:tbl>
    <w:p w14:paraId="38CD1294" w14:textId="77777777" w:rsidR="0085399C" w:rsidRDefault="0085399C">
      <w:pPr>
        <w:rPr>
          <w:rFonts w:ascii="Times New Roman" w:hAnsi="Times New Roman"/>
          <w:b/>
          <w:bCs/>
          <w:sz w:val="24"/>
          <w:szCs w:val="24"/>
          <w:lang w:val="bs-Latn-BA"/>
        </w:rPr>
      </w:pPr>
    </w:p>
    <w:p w14:paraId="4C2A658A" w14:textId="7A020CD7" w:rsidR="000C46F8" w:rsidRDefault="001E052B">
      <w:pPr>
        <w:rPr>
          <w:rFonts w:ascii="Times New Roman" w:hAnsi="Times New Roman"/>
          <w:b/>
          <w:bCs/>
          <w:sz w:val="24"/>
          <w:szCs w:val="24"/>
          <w:lang w:val="bs-Latn-BA"/>
        </w:rPr>
      </w:pPr>
      <w:r w:rsidRPr="003426C2">
        <w:rPr>
          <w:rFonts w:ascii="Times New Roman" w:hAnsi="Times New Roman"/>
          <w:b/>
          <w:bCs/>
          <w:sz w:val="24"/>
          <w:szCs w:val="24"/>
          <w:lang w:val="bs-Latn-BA"/>
        </w:rPr>
        <w:t>Zaključak</w:t>
      </w:r>
    </w:p>
    <w:p w14:paraId="3BB3979B" w14:textId="77777777" w:rsidR="0085399C" w:rsidRPr="003426C2" w:rsidRDefault="0085399C">
      <w:pPr>
        <w:rPr>
          <w:rFonts w:ascii="Times New Roman" w:hAnsi="Times New Roman"/>
          <w:b/>
          <w:bCs/>
          <w:sz w:val="24"/>
          <w:szCs w:val="24"/>
          <w:lang w:val="bs-Latn-BA"/>
        </w:rPr>
      </w:pPr>
    </w:p>
    <w:p w14:paraId="71F7E8F7" w14:textId="73CBE6C1" w:rsidR="001E052B" w:rsidRDefault="001E052B">
      <w:pPr>
        <w:rPr>
          <w:rFonts w:ascii="Times New Roman" w:hAnsi="Times New Roman"/>
          <w:sz w:val="24"/>
          <w:szCs w:val="24"/>
          <w:lang w:val="bs-Latn-BA"/>
        </w:rPr>
      </w:pPr>
      <w:r w:rsidRPr="003426C2">
        <w:rPr>
          <w:rFonts w:ascii="Times New Roman" w:hAnsi="Times New Roman"/>
          <w:sz w:val="24"/>
          <w:szCs w:val="24"/>
          <w:lang w:val="bs-Latn-BA"/>
        </w:rPr>
        <w:t>Multisektorskim pristupom, uključivanjem brojnih aktera i kontinuiranom saradnjom tokom 2024. godine, uspješno su realizovane sve aktivnosti</w:t>
      </w:r>
      <w:r w:rsidR="00FB117F" w:rsidRPr="003426C2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3426C2" w:rsidRPr="003426C2">
        <w:rPr>
          <w:rFonts w:ascii="Times New Roman" w:hAnsi="Times New Roman"/>
          <w:sz w:val="24"/>
          <w:szCs w:val="24"/>
          <w:lang w:val="bs-Latn-BA"/>
        </w:rPr>
        <w:t xml:space="preserve">planirane u </w:t>
      </w:r>
      <w:r w:rsidR="00FB117F" w:rsidRPr="003426C2">
        <w:rPr>
          <w:rFonts w:ascii="Times New Roman" w:hAnsi="Times New Roman"/>
          <w:sz w:val="24"/>
          <w:szCs w:val="24"/>
          <w:lang w:val="bs-Latn-BA"/>
        </w:rPr>
        <w:t>Akcionom planu za zapošlj</w:t>
      </w:r>
      <w:r w:rsidR="003426C2" w:rsidRPr="003426C2">
        <w:rPr>
          <w:rFonts w:ascii="Times New Roman" w:hAnsi="Times New Roman"/>
          <w:sz w:val="24"/>
          <w:szCs w:val="24"/>
          <w:lang w:val="bs-Latn-BA"/>
        </w:rPr>
        <w:t>a</w:t>
      </w:r>
      <w:r w:rsidR="00FB117F" w:rsidRPr="003426C2">
        <w:rPr>
          <w:rFonts w:ascii="Times New Roman" w:hAnsi="Times New Roman"/>
          <w:sz w:val="24"/>
          <w:szCs w:val="24"/>
          <w:lang w:val="bs-Latn-BA"/>
        </w:rPr>
        <w:t>vanje za 2024. godinu</w:t>
      </w:r>
      <w:r w:rsidRPr="003426C2">
        <w:rPr>
          <w:rFonts w:ascii="Times New Roman" w:hAnsi="Times New Roman"/>
          <w:sz w:val="24"/>
          <w:szCs w:val="24"/>
          <w:lang w:val="bs-Latn-BA"/>
        </w:rPr>
        <w:t>.</w:t>
      </w:r>
    </w:p>
    <w:p w14:paraId="706064F5" w14:textId="77777777" w:rsidR="0085399C" w:rsidRDefault="0085399C">
      <w:pPr>
        <w:rPr>
          <w:rFonts w:ascii="Times New Roman" w:hAnsi="Times New Roman"/>
          <w:sz w:val="24"/>
          <w:szCs w:val="24"/>
          <w:lang w:val="bs-Latn-BA"/>
        </w:rPr>
      </w:pPr>
    </w:p>
    <w:p w14:paraId="4A5FF44E" w14:textId="77777777" w:rsidR="00FB54CD" w:rsidRPr="00FB54CD" w:rsidRDefault="00BC4D9E" w:rsidP="00FB54CD">
      <w:pPr>
        <w:jc w:val="right"/>
        <w:rPr>
          <w:rFonts w:ascii="Times New Roman" w:hAnsi="Times New Roman"/>
          <w:b/>
          <w:bCs/>
          <w:sz w:val="24"/>
          <w:szCs w:val="24"/>
          <w:lang w:val="bs-Latn-BA"/>
        </w:rPr>
      </w:pPr>
      <w:r w:rsidRPr="00FB54CD">
        <w:rPr>
          <w:rFonts w:ascii="Times New Roman" w:hAnsi="Times New Roman"/>
          <w:b/>
          <w:bCs/>
          <w:sz w:val="24"/>
          <w:szCs w:val="24"/>
          <w:lang w:val="bs-Latn-BA"/>
        </w:rPr>
        <w:t>Rukovodilac Službe za saradnju, poslove predsjednika i informisan</w:t>
      </w:r>
      <w:r w:rsidR="00FB54CD" w:rsidRPr="00FB54CD">
        <w:rPr>
          <w:rFonts w:ascii="Times New Roman" w:hAnsi="Times New Roman"/>
          <w:b/>
          <w:bCs/>
          <w:sz w:val="24"/>
          <w:szCs w:val="24"/>
          <w:lang w:val="bs-Latn-BA"/>
        </w:rPr>
        <w:t>je</w:t>
      </w:r>
    </w:p>
    <w:p w14:paraId="2D46F515" w14:textId="0FA9C9D3" w:rsidR="00BC4D9E" w:rsidRDefault="00FB54CD" w:rsidP="00FB54CD">
      <w:pPr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                                                                                                                                                                    </w:t>
      </w:r>
      <w:r w:rsidR="00BC4D9E">
        <w:rPr>
          <w:rFonts w:ascii="Times New Roman" w:hAnsi="Times New Roman"/>
          <w:sz w:val="24"/>
          <w:szCs w:val="24"/>
          <w:lang w:val="bs-Latn-BA"/>
        </w:rPr>
        <w:t>Marko Perućica</w:t>
      </w:r>
    </w:p>
    <w:p w14:paraId="3964B3A3" w14:textId="2BE01517" w:rsidR="00DB52A4" w:rsidRPr="005F1F71" w:rsidRDefault="00FB54CD" w:rsidP="00FB54CD">
      <w:pPr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                                                                                                                                                         </w:t>
      </w:r>
      <w:r w:rsidR="00BC4D9E">
        <w:rPr>
          <w:rFonts w:ascii="Times New Roman" w:hAnsi="Times New Roman"/>
          <w:sz w:val="24"/>
          <w:szCs w:val="24"/>
          <w:lang w:val="bs-Latn-BA"/>
        </w:rPr>
        <w:t>___________________________</w:t>
      </w:r>
    </w:p>
    <w:sectPr w:rsidR="00DB52A4" w:rsidRPr="005F1F71" w:rsidSect="00745DDE">
      <w:footerReference w:type="default" r:id="rId9"/>
      <w:pgSz w:w="16838" w:h="11906" w:orient="landscape"/>
      <w:pgMar w:top="1361" w:right="130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E03CF" w14:textId="77777777" w:rsidR="00842DB3" w:rsidRDefault="00842DB3" w:rsidP="00E32807">
      <w:pPr>
        <w:spacing w:after="0" w:line="240" w:lineRule="auto"/>
      </w:pPr>
      <w:r>
        <w:separator/>
      </w:r>
    </w:p>
  </w:endnote>
  <w:endnote w:type="continuationSeparator" w:id="0">
    <w:p w14:paraId="071A213A" w14:textId="77777777" w:rsidR="00842DB3" w:rsidRDefault="00842DB3" w:rsidP="00E3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670683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743AC074" w14:textId="24976BA3" w:rsidR="002D6249" w:rsidRPr="00B115C1" w:rsidRDefault="002D6249">
        <w:pPr>
          <w:pStyle w:val="Podnojestranice"/>
          <w:jc w:val="right"/>
          <w:rPr>
            <w:rFonts w:ascii="Times New Roman" w:hAnsi="Times New Roman"/>
          </w:rPr>
        </w:pPr>
        <w:r w:rsidRPr="00B115C1">
          <w:rPr>
            <w:rFonts w:ascii="Times New Roman" w:hAnsi="Times New Roman"/>
          </w:rPr>
          <w:fldChar w:fldCharType="begin"/>
        </w:r>
        <w:r w:rsidRPr="00B115C1">
          <w:rPr>
            <w:rFonts w:ascii="Times New Roman" w:hAnsi="Times New Roman"/>
          </w:rPr>
          <w:instrText xml:space="preserve"> PAGE   \* MERGEFORMAT </w:instrText>
        </w:r>
        <w:r w:rsidRPr="00B115C1">
          <w:rPr>
            <w:rFonts w:ascii="Times New Roman" w:hAnsi="Times New Roman"/>
          </w:rPr>
          <w:fldChar w:fldCharType="separate"/>
        </w:r>
        <w:r w:rsidR="00E32E1B" w:rsidRPr="00B115C1">
          <w:rPr>
            <w:rFonts w:ascii="Times New Roman" w:hAnsi="Times New Roman"/>
            <w:noProof/>
          </w:rPr>
          <w:t>11</w:t>
        </w:r>
        <w:r w:rsidRPr="00B115C1">
          <w:rPr>
            <w:rFonts w:ascii="Times New Roman" w:hAnsi="Times New Roman"/>
            <w:noProof/>
          </w:rPr>
          <w:fldChar w:fldCharType="end"/>
        </w:r>
      </w:p>
    </w:sdtContent>
  </w:sdt>
  <w:p w14:paraId="56A55638" w14:textId="77777777" w:rsidR="002D6249" w:rsidRDefault="002D6249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73753" w14:textId="77777777" w:rsidR="00842DB3" w:rsidRDefault="00842DB3" w:rsidP="00E32807">
      <w:pPr>
        <w:spacing w:after="0" w:line="240" w:lineRule="auto"/>
      </w:pPr>
      <w:r>
        <w:separator/>
      </w:r>
    </w:p>
  </w:footnote>
  <w:footnote w:type="continuationSeparator" w:id="0">
    <w:p w14:paraId="65FB57CF" w14:textId="77777777" w:rsidR="00842DB3" w:rsidRDefault="00842DB3" w:rsidP="00E3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4D39"/>
    <w:multiLevelType w:val="hybridMultilevel"/>
    <w:tmpl w:val="8BFEF6B0"/>
    <w:lvl w:ilvl="0" w:tplc="8724E4B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674D2"/>
    <w:multiLevelType w:val="multilevel"/>
    <w:tmpl w:val="F1E812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A9"/>
    <w:rsid w:val="00003E58"/>
    <w:rsid w:val="00033CC8"/>
    <w:rsid w:val="00040D1C"/>
    <w:rsid w:val="000444BC"/>
    <w:rsid w:val="00075460"/>
    <w:rsid w:val="000765B9"/>
    <w:rsid w:val="00095113"/>
    <w:rsid w:val="00095736"/>
    <w:rsid w:val="000A5C5F"/>
    <w:rsid w:val="000C39EF"/>
    <w:rsid w:val="000C46F8"/>
    <w:rsid w:val="000C4C7B"/>
    <w:rsid w:val="000E338E"/>
    <w:rsid w:val="000F6CC6"/>
    <w:rsid w:val="001043F7"/>
    <w:rsid w:val="001151BE"/>
    <w:rsid w:val="00125828"/>
    <w:rsid w:val="00130E77"/>
    <w:rsid w:val="001334A7"/>
    <w:rsid w:val="001363E1"/>
    <w:rsid w:val="00170479"/>
    <w:rsid w:val="00175093"/>
    <w:rsid w:val="00182957"/>
    <w:rsid w:val="00194BDE"/>
    <w:rsid w:val="001A1572"/>
    <w:rsid w:val="001A257B"/>
    <w:rsid w:val="001C08C8"/>
    <w:rsid w:val="001C320C"/>
    <w:rsid w:val="001D0839"/>
    <w:rsid w:val="001D31A7"/>
    <w:rsid w:val="001D70C6"/>
    <w:rsid w:val="001E052B"/>
    <w:rsid w:val="002225A8"/>
    <w:rsid w:val="00227988"/>
    <w:rsid w:val="0023524F"/>
    <w:rsid w:val="00244E89"/>
    <w:rsid w:val="0026359D"/>
    <w:rsid w:val="00281D24"/>
    <w:rsid w:val="002A04D5"/>
    <w:rsid w:val="002A16F8"/>
    <w:rsid w:val="002A21E1"/>
    <w:rsid w:val="002A718B"/>
    <w:rsid w:val="002B0FBE"/>
    <w:rsid w:val="002C431F"/>
    <w:rsid w:val="002C5258"/>
    <w:rsid w:val="002C6E8F"/>
    <w:rsid w:val="002D328D"/>
    <w:rsid w:val="002D6249"/>
    <w:rsid w:val="002E50B4"/>
    <w:rsid w:val="00306496"/>
    <w:rsid w:val="00313A37"/>
    <w:rsid w:val="00325739"/>
    <w:rsid w:val="00332C64"/>
    <w:rsid w:val="003345DE"/>
    <w:rsid w:val="003426C2"/>
    <w:rsid w:val="00343B91"/>
    <w:rsid w:val="0038797B"/>
    <w:rsid w:val="003C1D50"/>
    <w:rsid w:val="003F579D"/>
    <w:rsid w:val="00402D59"/>
    <w:rsid w:val="0041739E"/>
    <w:rsid w:val="00425B02"/>
    <w:rsid w:val="004435CF"/>
    <w:rsid w:val="00450402"/>
    <w:rsid w:val="00454D79"/>
    <w:rsid w:val="00456486"/>
    <w:rsid w:val="00462088"/>
    <w:rsid w:val="00473A48"/>
    <w:rsid w:val="00486A3A"/>
    <w:rsid w:val="00494422"/>
    <w:rsid w:val="004B70EC"/>
    <w:rsid w:val="004D077D"/>
    <w:rsid w:val="004D59FE"/>
    <w:rsid w:val="005018D3"/>
    <w:rsid w:val="0050275D"/>
    <w:rsid w:val="0050286B"/>
    <w:rsid w:val="00503891"/>
    <w:rsid w:val="005217A0"/>
    <w:rsid w:val="00524AE5"/>
    <w:rsid w:val="00537999"/>
    <w:rsid w:val="005431EF"/>
    <w:rsid w:val="0054334A"/>
    <w:rsid w:val="00552202"/>
    <w:rsid w:val="0055267B"/>
    <w:rsid w:val="00556665"/>
    <w:rsid w:val="005974C6"/>
    <w:rsid w:val="005B20A8"/>
    <w:rsid w:val="005B4570"/>
    <w:rsid w:val="005C30A9"/>
    <w:rsid w:val="005C73E5"/>
    <w:rsid w:val="005D05C4"/>
    <w:rsid w:val="005D6791"/>
    <w:rsid w:val="005D6CA0"/>
    <w:rsid w:val="005E682C"/>
    <w:rsid w:val="005F1558"/>
    <w:rsid w:val="005F1F71"/>
    <w:rsid w:val="006056CD"/>
    <w:rsid w:val="00610368"/>
    <w:rsid w:val="0063295A"/>
    <w:rsid w:val="0066252B"/>
    <w:rsid w:val="00672EEC"/>
    <w:rsid w:val="0067449A"/>
    <w:rsid w:val="0067563C"/>
    <w:rsid w:val="0069115E"/>
    <w:rsid w:val="006917EC"/>
    <w:rsid w:val="00694BA9"/>
    <w:rsid w:val="006A2F32"/>
    <w:rsid w:val="006B2C6C"/>
    <w:rsid w:val="006C64ED"/>
    <w:rsid w:val="006D3DC9"/>
    <w:rsid w:val="006E3C77"/>
    <w:rsid w:val="006F11DA"/>
    <w:rsid w:val="0070226C"/>
    <w:rsid w:val="00702A51"/>
    <w:rsid w:val="007142E6"/>
    <w:rsid w:val="007251E8"/>
    <w:rsid w:val="00737A00"/>
    <w:rsid w:val="00743A3C"/>
    <w:rsid w:val="00745DDE"/>
    <w:rsid w:val="00753AD4"/>
    <w:rsid w:val="00756E9F"/>
    <w:rsid w:val="00760900"/>
    <w:rsid w:val="007758F8"/>
    <w:rsid w:val="00783579"/>
    <w:rsid w:val="007A3F8F"/>
    <w:rsid w:val="007D1583"/>
    <w:rsid w:val="007D667A"/>
    <w:rsid w:val="007E0D86"/>
    <w:rsid w:val="00800A45"/>
    <w:rsid w:val="00805F44"/>
    <w:rsid w:val="008063B4"/>
    <w:rsid w:val="00822737"/>
    <w:rsid w:val="00835896"/>
    <w:rsid w:val="0083626D"/>
    <w:rsid w:val="00842DB3"/>
    <w:rsid w:val="00851841"/>
    <w:rsid w:val="0085399C"/>
    <w:rsid w:val="008714A8"/>
    <w:rsid w:val="00897961"/>
    <w:rsid w:val="008D3E98"/>
    <w:rsid w:val="008E12BE"/>
    <w:rsid w:val="009103AD"/>
    <w:rsid w:val="00912A79"/>
    <w:rsid w:val="00936C77"/>
    <w:rsid w:val="00966348"/>
    <w:rsid w:val="009711CF"/>
    <w:rsid w:val="00982974"/>
    <w:rsid w:val="009B1E2C"/>
    <w:rsid w:val="009B7478"/>
    <w:rsid w:val="009C6ED0"/>
    <w:rsid w:val="009D3400"/>
    <w:rsid w:val="009F1099"/>
    <w:rsid w:val="00A261AF"/>
    <w:rsid w:val="00A43F70"/>
    <w:rsid w:val="00A509C7"/>
    <w:rsid w:val="00A555DD"/>
    <w:rsid w:val="00A6613A"/>
    <w:rsid w:val="00A71463"/>
    <w:rsid w:val="00A7490F"/>
    <w:rsid w:val="00A77B34"/>
    <w:rsid w:val="00AD5082"/>
    <w:rsid w:val="00AF2A65"/>
    <w:rsid w:val="00AF5602"/>
    <w:rsid w:val="00B115C1"/>
    <w:rsid w:val="00B17C24"/>
    <w:rsid w:val="00B26BC7"/>
    <w:rsid w:val="00B473A0"/>
    <w:rsid w:val="00B67260"/>
    <w:rsid w:val="00B71236"/>
    <w:rsid w:val="00B71BB3"/>
    <w:rsid w:val="00B73728"/>
    <w:rsid w:val="00B8738F"/>
    <w:rsid w:val="00B907B7"/>
    <w:rsid w:val="00B92CBC"/>
    <w:rsid w:val="00B940C8"/>
    <w:rsid w:val="00BA64ED"/>
    <w:rsid w:val="00BB5661"/>
    <w:rsid w:val="00BC4D9E"/>
    <w:rsid w:val="00BD27DE"/>
    <w:rsid w:val="00C00436"/>
    <w:rsid w:val="00C03986"/>
    <w:rsid w:val="00C0468C"/>
    <w:rsid w:val="00C07C44"/>
    <w:rsid w:val="00C17A18"/>
    <w:rsid w:val="00C30011"/>
    <w:rsid w:val="00C30D3D"/>
    <w:rsid w:val="00C54F8A"/>
    <w:rsid w:val="00C66D73"/>
    <w:rsid w:val="00C7561B"/>
    <w:rsid w:val="00C762F3"/>
    <w:rsid w:val="00C8761B"/>
    <w:rsid w:val="00C97FDA"/>
    <w:rsid w:val="00CC346D"/>
    <w:rsid w:val="00CE279E"/>
    <w:rsid w:val="00CF6173"/>
    <w:rsid w:val="00D276CA"/>
    <w:rsid w:val="00D411EB"/>
    <w:rsid w:val="00D42119"/>
    <w:rsid w:val="00D45C81"/>
    <w:rsid w:val="00D50195"/>
    <w:rsid w:val="00D55CFD"/>
    <w:rsid w:val="00D676A6"/>
    <w:rsid w:val="00D72243"/>
    <w:rsid w:val="00D8079E"/>
    <w:rsid w:val="00D87EFE"/>
    <w:rsid w:val="00DB52A4"/>
    <w:rsid w:val="00DD6C8A"/>
    <w:rsid w:val="00DE1521"/>
    <w:rsid w:val="00DE5221"/>
    <w:rsid w:val="00DE76C6"/>
    <w:rsid w:val="00DE778E"/>
    <w:rsid w:val="00DF172A"/>
    <w:rsid w:val="00DF7985"/>
    <w:rsid w:val="00E10CA9"/>
    <w:rsid w:val="00E2359F"/>
    <w:rsid w:val="00E25E10"/>
    <w:rsid w:val="00E32807"/>
    <w:rsid w:val="00E32E1B"/>
    <w:rsid w:val="00E35228"/>
    <w:rsid w:val="00E41F6D"/>
    <w:rsid w:val="00E83111"/>
    <w:rsid w:val="00E87910"/>
    <w:rsid w:val="00E91DEB"/>
    <w:rsid w:val="00EC4556"/>
    <w:rsid w:val="00EC573F"/>
    <w:rsid w:val="00ED4AEE"/>
    <w:rsid w:val="00EE5FEE"/>
    <w:rsid w:val="00EF606E"/>
    <w:rsid w:val="00EF6329"/>
    <w:rsid w:val="00F01D52"/>
    <w:rsid w:val="00F26EA0"/>
    <w:rsid w:val="00F30184"/>
    <w:rsid w:val="00F414ED"/>
    <w:rsid w:val="00F51F16"/>
    <w:rsid w:val="00F555D1"/>
    <w:rsid w:val="00F6412D"/>
    <w:rsid w:val="00F6563A"/>
    <w:rsid w:val="00F7330E"/>
    <w:rsid w:val="00F744C8"/>
    <w:rsid w:val="00F74BF0"/>
    <w:rsid w:val="00F85229"/>
    <w:rsid w:val="00F90815"/>
    <w:rsid w:val="00F9523B"/>
    <w:rsid w:val="00FA2634"/>
    <w:rsid w:val="00FB117F"/>
    <w:rsid w:val="00FB54CD"/>
    <w:rsid w:val="00FC2275"/>
    <w:rsid w:val="00FE6653"/>
    <w:rsid w:val="00FE7CC2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54D5A"/>
  <w15:docId w15:val="{35142AC4-E343-4052-87BF-8AD98A4B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Cs w:val="18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5C3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ektura">
    <w:name w:val="Revision"/>
    <w:hidden/>
    <w:uiPriority w:val="99"/>
    <w:semiHidden/>
    <w:rsid w:val="00EF6329"/>
    <w:rPr>
      <w:lang w:val="en-GB"/>
    </w:rPr>
  </w:style>
  <w:style w:type="paragraph" w:styleId="Pasussalistom">
    <w:name w:val="List Paragraph"/>
    <w:aliases w:val="bulleted Jens,Lettre d'introduction,Paragrafo elenco,List Paragraph1,1st level - Bullet List Paragraph,Medium Grid 1 - Accent 21,Normal bullet 2,Bullet list,Numbered List,Bullets,List Paragraph (numbered (a)),Akapit z listą BS,WB Para"/>
    <w:basedOn w:val="Normal"/>
    <w:link w:val="PasussalistomChar"/>
    <w:uiPriority w:val="34"/>
    <w:qFormat/>
    <w:rsid w:val="00DB52A4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E32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E32807"/>
    <w:rPr>
      <w:lang w:val="en-GB"/>
    </w:rPr>
  </w:style>
  <w:style w:type="paragraph" w:styleId="Podnojestranice">
    <w:name w:val="footer"/>
    <w:basedOn w:val="Normal"/>
    <w:link w:val="PodnojestraniceChar"/>
    <w:uiPriority w:val="99"/>
    <w:unhideWhenUsed/>
    <w:rsid w:val="00E32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E32807"/>
    <w:rPr>
      <w:lang w:val="en-GB"/>
    </w:rPr>
  </w:style>
  <w:style w:type="paragraph" w:customStyle="1" w:styleId="Default">
    <w:name w:val="Default"/>
    <w:rsid w:val="001D70C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PasussalistomChar">
    <w:name w:val="Pasus sa listom Char"/>
    <w:aliases w:val="bulleted Jens Char,Lettre d'introduction Char,Paragrafo elenco Char,List Paragraph1 Char,1st level - Bullet List Paragraph Char,Medium Grid 1 - Accent 21 Char,Normal bullet 2 Char,Bullet list Char,Numbered List Char,Bullets Char"/>
    <w:link w:val="Pasussalistom"/>
    <w:uiPriority w:val="34"/>
    <w:qFormat/>
    <w:rsid w:val="006C64E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9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9EF0D-00DA-4431-92C1-236482E3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2497</Words>
  <Characters>14235</Characters>
  <Application>Microsoft Office Word</Application>
  <DocSecurity>0</DocSecurity>
  <Lines>118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Brnovic;Meri Lorencic</dc:creator>
  <cp:lastModifiedBy>Danijela Čizmović</cp:lastModifiedBy>
  <cp:revision>48</cp:revision>
  <cp:lastPrinted>2025-03-17T08:59:00Z</cp:lastPrinted>
  <dcterms:created xsi:type="dcterms:W3CDTF">2025-03-13T13:12:00Z</dcterms:created>
  <dcterms:modified xsi:type="dcterms:W3CDTF">2025-03-17T09:23:00Z</dcterms:modified>
</cp:coreProperties>
</file>