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89" w:rsidRDefault="0080172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311289" w:rsidTr="00311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 xml:space="preserve">Predsjednik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Nikšić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 w:val="0"/>
                <w:szCs w:val="24"/>
              </w:rPr>
              <w:t>Direkcija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za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imovinu</w:t>
            </w:r>
            <w:proofErr w:type="spellEnd"/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>
              <w:rPr>
                <w:rFonts w:ascii="Arial" w:hAnsi="Arial"/>
                <w:bCs w:val="0"/>
                <w:szCs w:val="24"/>
              </w:rPr>
              <w:t>Odluka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raspisivanju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oglasa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javnom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nadmetanju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za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prenos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prava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svojine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na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građevinsko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zemljište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obuhvatu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Generalnog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urbanističkog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rješenja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Izmjena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i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dopuna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Prostorno-urbanističkog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plana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Nikšić</w:t>
            </w:r>
            <w:proofErr w:type="spellEnd"/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 li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Dali 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posebn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34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i 3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list CG“ br. 21/09 i 40/11),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(„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list CG“ br. 2/18, 34/19, 38/20, 50/22 i 84/22),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31/18);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Riječ je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provođenja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nadmetanje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prenos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svojine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građevinsko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privođenja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planiranoj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namjeni –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realizacije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Generaln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og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urbanističk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og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rješenj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dopuna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Prostorno-urbanističko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pomenuti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planski dokument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donešen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sredinom godine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i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realizovan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dijelu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privođen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j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a namjeni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urbanističke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parcele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predmet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nadmetanja.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realizacije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provesti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privesti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prostor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namjeni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planskim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dokumentom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područje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;</w:t>
            </w:r>
          </w:p>
          <w:p w:rsidR="00311289" w:rsidRDefault="0080172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teritorije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“status quo”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prostor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privesti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namjeni. 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uslova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privođenje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namjeni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planskim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dokumentom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područje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31128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 xml:space="preserve">-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uv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ijek</w:t>
            </w:r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).</w:t>
            </w:r>
          </w:p>
          <w:p w:rsidR="00311289" w:rsidRDefault="0080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unapre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đuje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raspisivanje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oglasa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nadmetanju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prenos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svojine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građevinsko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Generalnim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urbanističkim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rješenjem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dopuna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Prostorno-urbanističkog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11289" w:rsidTr="00311289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Na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Da li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barijer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Da li je obezbjeđenje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 Da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?)</w:t>
            </w:r>
          </w:p>
          <w:p w:rsidR="00311289" w:rsidRDefault="0080172C">
            <w:p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3112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m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plementacije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bezbijeđena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l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prihodovati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prodatog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od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buduće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nakna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komunalno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opremanje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građevinskog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Početna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građevinskog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manja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od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15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,00 €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m2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utvrđena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Izvještajem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procjeni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vrijednosti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nepokretnosti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od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12.12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.2024.godine,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urađenim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Komisije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nepokretnih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formirane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Rješenjem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predsjednika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02-031-2538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16.06.2024.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godine</w:t>
            </w:r>
            <w:proofErr w:type="spellEnd"/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).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Tokom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311289" w:rsidRDefault="008017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Predstav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11289" w:rsidRDefault="0080172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7. Monitoring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311289" w:rsidRDefault="0080172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311289" w:rsidTr="0031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1289" w:rsidRDefault="0031128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801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organ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311289" w:rsidRDefault="0031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311289" w:rsidRDefault="00311289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74BFB" w:rsidRDefault="00D74BFB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74BFB" w:rsidRDefault="00D74BFB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311289" w:rsidRDefault="0080172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Datum i </w:t>
      </w:r>
      <w:proofErr w:type="spellStart"/>
      <w:r>
        <w:rPr>
          <w:rFonts w:ascii="Arial" w:hAnsi="Arial"/>
          <w:b/>
        </w:rPr>
        <w:t>mjesto</w:t>
      </w:r>
      <w:proofErr w:type="spellEnd"/>
      <w:r>
        <w:rPr>
          <w:rFonts w:ascii="Arial" w:hAnsi="Arial"/>
          <w:b/>
        </w:rPr>
        <w:t xml:space="preserve">                                                                                   DIREKTOR</w:t>
      </w:r>
    </w:p>
    <w:p w:rsidR="00311289" w:rsidRDefault="0080172C">
      <w:pPr>
        <w:rPr>
          <w:rFonts w:ascii="Arial" w:hAnsi="Arial" w:cs="Arial"/>
          <w:b/>
          <w:color w:val="365F91" w:themeColor="accent1" w:themeShade="BF"/>
        </w:rPr>
      </w:pPr>
      <w:proofErr w:type="spellStart"/>
      <w:r>
        <w:rPr>
          <w:rFonts w:ascii="Arial" w:hAnsi="Arial"/>
          <w:b/>
        </w:rPr>
        <w:t>Nikšić</w:t>
      </w:r>
      <w:proofErr w:type="spellEnd"/>
      <w:r>
        <w:rPr>
          <w:rFonts w:ascii="Arial" w:hAnsi="Arial"/>
          <w:b/>
        </w:rPr>
        <w:t xml:space="preserve">, </w:t>
      </w:r>
      <w:proofErr w:type="gramStart"/>
      <w:r w:rsidR="00D74BFB">
        <w:rPr>
          <w:rFonts w:ascii="Arial" w:hAnsi="Arial"/>
          <w:b/>
          <w:lang w:val="sr-Latn-ME"/>
        </w:rPr>
        <w:t>14.mart</w:t>
      </w:r>
      <w:r>
        <w:rPr>
          <w:rFonts w:ascii="Arial" w:hAnsi="Arial"/>
          <w:b/>
        </w:rPr>
        <w:t xml:space="preserve">  202</w:t>
      </w:r>
      <w:r w:rsidR="00D74BFB">
        <w:rPr>
          <w:rFonts w:ascii="Arial" w:hAnsi="Arial"/>
          <w:b/>
        </w:rPr>
        <w:t>5</w:t>
      </w:r>
      <w:proofErr w:type="gramEnd"/>
      <w:r>
        <w:rPr>
          <w:rFonts w:ascii="Arial" w:hAnsi="Arial"/>
          <w:b/>
        </w:rPr>
        <w:t xml:space="preserve">. </w:t>
      </w:r>
      <w:proofErr w:type="spellStart"/>
      <w:proofErr w:type="gramStart"/>
      <w:r>
        <w:rPr>
          <w:rFonts w:ascii="Arial" w:hAnsi="Arial"/>
          <w:b/>
        </w:rPr>
        <w:t>godine</w:t>
      </w:r>
      <w:proofErr w:type="spellEnd"/>
      <w:proofErr w:type="gramEnd"/>
      <w:r>
        <w:rPr>
          <w:rFonts w:ascii="Arial" w:hAnsi="Arial"/>
          <w:b/>
        </w:rPr>
        <w:t xml:space="preserve">                                               </w:t>
      </w:r>
      <w:r w:rsidR="00D74BFB">
        <w:rPr>
          <w:rFonts w:ascii="Arial" w:hAnsi="Arial"/>
          <w:b/>
        </w:rPr>
        <w:t xml:space="preserve">   </w:t>
      </w:r>
      <w:bookmarkStart w:id="0" w:name="_GoBack"/>
      <w:bookmarkEnd w:id="0"/>
      <w:r w:rsidR="00D74BF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Radosav Urošević</w:t>
      </w:r>
    </w:p>
    <w:sectPr w:rsidR="00311289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2C" w:rsidRDefault="0080172C">
      <w:r>
        <w:separator/>
      </w:r>
    </w:p>
  </w:endnote>
  <w:endnote w:type="continuationSeparator" w:id="0">
    <w:p w:rsidR="0080172C" w:rsidRDefault="008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2C" w:rsidRDefault="0080172C">
      <w:r>
        <w:separator/>
      </w:r>
    </w:p>
  </w:footnote>
  <w:footnote w:type="continuationSeparator" w:id="0">
    <w:p w:rsidR="0080172C" w:rsidRDefault="0080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989"/>
    <w:rsid w:val="00036EFA"/>
    <w:rsid w:val="000511F0"/>
    <w:rsid w:val="00057E6C"/>
    <w:rsid w:val="000629D8"/>
    <w:rsid w:val="00067FCF"/>
    <w:rsid w:val="000716AC"/>
    <w:rsid w:val="00075306"/>
    <w:rsid w:val="00090EE2"/>
    <w:rsid w:val="000C5F59"/>
    <w:rsid w:val="000E5392"/>
    <w:rsid w:val="000E7E95"/>
    <w:rsid w:val="00136E1D"/>
    <w:rsid w:val="00154647"/>
    <w:rsid w:val="00162BB1"/>
    <w:rsid w:val="00165A77"/>
    <w:rsid w:val="00183269"/>
    <w:rsid w:val="001A77E0"/>
    <w:rsid w:val="001B6959"/>
    <w:rsid w:val="001C7348"/>
    <w:rsid w:val="001D0BF0"/>
    <w:rsid w:val="001D40E5"/>
    <w:rsid w:val="001E1794"/>
    <w:rsid w:val="001E404C"/>
    <w:rsid w:val="002072BA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11289"/>
    <w:rsid w:val="00322389"/>
    <w:rsid w:val="00357476"/>
    <w:rsid w:val="00392F99"/>
    <w:rsid w:val="00395587"/>
    <w:rsid w:val="003D3FB6"/>
    <w:rsid w:val="003F334E"/>
    <w:rsid w:val="00410DF3"/>
    <w:rsid w:val="00421C05"/>
    <w:rsid w:val="00424B67"/>
    <w:rsid w:val="00425794"/>
    <w:rsid w:val="0047459A"/>
    <w:rsid w:val="0049164B"/>
    <w:rsid w:val="004A4396"/>
    <w:rsid w:val="004B549B"/>
    <w:rsid w:val="004C7A22"/>
    <w:rsid w:val="004E1351"/>
    <w:rsid w:val="004F4F9C"/>
    <w:rsid w:val="00504237"/>
    <w:rsid w:val="0054756C"/>
    <w:rsid w:val="005602EB"/>
    <w:rsid w:val="005805F3"/>
    <w:rsid w:val="005A3E04"/>
    <w:rsid w:val="005C4266"/>
    <w:rsid w:val="005F00B7"/>
    <w:rsid w:val="005F03ED"/>
    <w:rsid w:val="005F6D49"/>
    <w:rsid w:val="005F7F76"/>
    <w:rsid w:val="00601210"/>
    <w:rsid w:val="006129CD"/>
    <w:rsid w:val="00670445"/>
    <w:rsid w:val="006710AA"/>
    <w:rsid w:val="00673F68"/>
    <w:rsid w:val="00676EAD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D05DC"/>
    <w:rsid w:val="007E7A1D"/>
    <w:rsid w:val="0080172C"/>
    <w:rsid w:val="008039CA"/>
    <w:rsid w:val="008047E8"/>
    <w:rsid w:val="008102B2"/>
    <w:rsid w:val="008169A7"/>
    <w:rsid w:val="008301C9"/>
    <w:rsid w:val="008322D4"/>
    <w:rsid w:val="00833765"/>
    <w:rsid w:val="0085327D"/>
    <w:rsid w:val="008653C8"/>
    <w:rsid w:val="00871235"/>
    <w:rsid w:val="008748BB"/>
    <w:rsid w:val="008A2781"/>
    <w:rsid w:val="008B09E9"/>
    <w:rsid w:val="008C0535"/>
    <w:rsid w:val="008C5160"/>
    <w:rsid w:val="008D0619"/>
    <w:rsid w:val="008E4862"/>
    <w:rsid w:val="008E6C79"/>
    <w:rsid w:val="008E7881"/>
    <w:rsid w:val="009535C3"/>
    <w:rsid w:val="00960A46"/>
    <w:rsid w:val="0097182D"/>
    <w:rsid w:val="00972845"/>
    <w:rsid w:val="00981466"/>
    <w:rsid w:val="009874EB"/>
    <w:rsid w:val="009E489E"/>
    <w:rsid w:val="009F37BA"/>
    <w:rsid w:val="00A07773"/>
    <w:rsid w:val="00A265F9"/>
    <w:rsid w:val="00A71595"/>
    <w:rsid w:val="00A726F0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63BD"/>
    <w:rsid w:val="00D06D2A"/>
    <w:rsid w:val="00D10AC3"/>
    <w:rsid w:val="00D25692"/>
    <w:rsid w:val="00D27C82"/>
    <w:rsid w:val="00D4308A"/>
    <w:rsid w:val="00D74BFB"/>
    <w:rsid w:val="00D87CB1"/>
    <w:rsid w:val="00DB629C"/>
    <w:rsid w:val="00DD04AC"/>
    <w:rsid w:val="00DD1187"/>
    <w:rsid w:val="00DF5EA1"/>
    <w:rsid w:val="00DF6762"/>
    <w:rsid w:val="00E01F55"/>
    <w:rsid w:val="00E27102"/>
    <w:rsid w:val="00E3478E"/>
    <w:rsid w:val="00E45613"/>
    <w:rsid w:val="00E61671"/>
    <w:rsid w:val="00E721E9"/>
    <w:rsid w:val="00ED0AF4"/>
    <w:rsid w:val="00ED0F74"/>
    <w:rsid w:val="00ED4766"/>
    <w:rsid w:val="00EE7102"/>
    <w:rsid w:val="00F20105"/>
    <w:rsid w:val="00F724F6"/>
    <w:rsid w:val="00F72683"/>
    <w:rsid w:val="00F7433F"/>
    <w:rsid w:val="00F827EF"/>
    <w:rsid w:val="00F829CD"/>
    <w:rsid w:val="00FB6BD5"/>
    <w:rsid w:val="00FB7CBA"/>
    <w:rsid w:val="00FF1494"/>
    <w:rsid w:val="033C2311"/>
    <w:rsid w:val="13316ABC"/>
    <w:rsid w:val="3A4B0BD2"/>
    <w:rsid w:val="41A56B5B"/>
    <w:rsid w:val="673132B0"/>
    <w:rsid w:val="79E9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1102</Words>
  <Characters>6285</Characters>
  <Application>Microsoft Office Word</Application>
  <DocSecurity>0</DocSecurity>
  <Lines>52</Lines>
  <Paragraphs>14</Paragraphs>
  <ScaleCrop>false</ScaleCrop>
  <Company>Microsoft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7</cp:revision>
  <cp:lastPrinted>2022-12-08T08:15:00Z</cp:lastPrinted>
  <dcterms:created xsi:type="dcterms:W3CDTF">2024-01-24T08:09:00Z</dcterms:created>
  <dcterms:modified xsi:type="dcterms:W3CDTF">2025-03-14T07:43:00Z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DDADA4720814485CB5938C407E41E22E_13</vt:lpwstr>
  </property>
</Properties>
</file>