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73" w:rsidRPr="002138CD" w:rsidRDefault="002138CD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  <w:lang w:val="sr-Cyrl-ME"/>
        </w:rPr>
      </w:pP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>ОБРАЗАЦ</w:t>
      </w: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5505CD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5505CD">
              <w:rPr>
                <w:rFonts w:ascii="Arial" w:hAnsi="Arial" w:cs="Arial"/>
                <w:color w:val="365F91" w:themeColor="accent1" w:themeShade="BF"/>
                <w:szCs w:val="24"/>
              </w:rPr>
              <w:t>ИЗВЈЕШТАЈ О АНАЛИЗИ УТИЦАЈА ПРОПИСА ЗА ЛОКАЛНЕ САМОУПРАВЕ</w:t>
            </w:r>
          </w:p>
        </w:tc>
      </w:tr>
      <w:tr w:rsidR="002474AB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505CD" w:rsidRPr="005505CD" w:rsidRDefault="005505CD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505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ПРЕДЛАГАЧ ПРОПИСА</w:t>
            </w:r>
            <w:r w:rsidRPr="005505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</w:p>
          <w:p w:rsidR="002474AB" w:rsidRPr="00322389" w:rsidRDefault="002474AB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598" w:type="dxa"/>
          </w:tcPr>
          <w:p w:rsidR="00545787" w:rsidRPr="00545787" w:rsidRDefault="00545787" w:rsidP="00545787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Предсједник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</w:p>
          <w:p w:rsidR="002474AB" w:rsidRDefault="00545787" w:rsidP="00545787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  <w:lang w:val="sr-Cyrl-ME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Дирекција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имовину</w:t>
            </w:r>
            <w:proofErr w:type="spellEnd"/>
          </w:p>
          <w:p w:rsidR="00B74EFE" w:rsidRPr="00B74EFE" w:rsidRDefault="00B74EFE" w:rsidP="00B74EFE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  <w:lang w:val="sr-Cyrl-ME"/>
              </w:rPr>
              <w:t>Секретаријат за финансије, развој и предузетништво</w:t>
            </w:r>
            <w:bookmarkStart w:id="0" w:name="_GoBack"/>
            <w:bookmarkEnd w:id="0"/>
          </w:p>
        </w:tc>
      </w:tr>
      <w:tr w:rsidR="002474AB" w:rsidRPr="00322389" w:rsidTr="00C561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474AB" w:rsidRPr="00322389" w:rsidRDefault="00D104AD" w:rsidP="009E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НАЗИВ ПРОПИСА</w:t>
            </w:r>
          </w:p>
        </w:tc>
        <w:tc>
          <w:tcPr>
            <w:tcW w:w="5598" w:type="dxa"/>
          </w:tcPr>
          <w:p w:rsidR="002474AB" w:rsidRPr="00C561D0" w:rsidRDefault="00545787" w:rsidP="0032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  <w:lang w:val="sr-Cyrl-ME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Одлука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BB29E8" w:rsidRPr="00BB29E8">
              <w:rPr>
                <w:rFonts w:ascii="Arial" w:hAnsi="Arial" w:cs="Arial"/>
                <w:bCs w:val="0"/>
                <w:szCs w:val="24"/>
              </w:rPr>
              <w:t xml:space="preserve">о </w:t>
            </w:r>
            <w:proofErr w:type="spellStart"/>
            <w:r w:rsidR="00BB29E8" w:rsidRPr="00BB29E8">
              <w:rPr>
                <w:rFonts w:ascii="Arial" w:hAnsi="Arial" w:cs="Arial"/>
                <w:bCs w:val="0"/>
                <w:szCs w:val="24"/>
              </w:rPr>
              <w:t>обезбјеђењу</w:t>
            </w:r>
            <w:proofErr w:type="spellEnd"/>
            <w:r w:rsidR="00BB29E8" w:rsidRPr="00BB29E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bCs w:val="0"/>
                <w:szCs w:val="24"/>
              </w:rPr>
              <w:t>средстава</w:t>
            </w:r>
            <w:proofErr w:type="spellEnd"/>
            <w:r w:rsidR="00BB29E8" w:rsidRPr="00BB29E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="00BB29E8" w:rsidRPr="00BB29E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bCs w:val="0"/>
                <w:szCs w:val="24"/>
              </w:rPr>
              <w:t>помоћ</w:t>
            </w:r>
            <w:proofErr w:type="spellEnd"/>
            <w:r w:rsidR="00BB29E8" w:rsidRPr="00BB29E8">
              <w:rPr>
                <w:rFonts w:ascii="Arial" w:hAnsi="Arial" w:cs="Arial"/>
                <w:bCs w:val="0"/>
                <w:szCs w:val="24"/>
              </w:rPr>
              <w:t xml:space="preserve"> у </w:t>
            </w:r>
            <w:proofErr w:type="spellStart"/>
            <w:r w:rsidR="00BB29E8" w:rsidRPr="00BB29E8">
              <w:rPr>
                <w:rFonts w:ascii="Arial" w:hAnsi="Arial" w:cs="Arial"/>
                <w:bCs w:val="0"/>
                <w:szCs w:val="24"/>
              </w:rPr>
              <w:t>стамбеном</w:t>
            </w:r>
            <w:proofErr w:type="spellEnd"/>
            <w:r w:rsidR="00BB29E8" w:rsidRPr="00BB29E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bCs w:val="0"/>
                <w:szCs w:val="24"/>
              </w:rPr>
              <w:t>збрињавању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9E489E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104AD" w:rsidRPr="00D104AD" w:rsidRDefault="00D104AD" w:rsidP="000A1BF5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</w:t>
            </w:r>
            <w:r w:rsid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115F4F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2600A" w:rsidRPr="00115F4F" w:rsidRDefault="0032600A" w:rsidP="00A32A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Правни основ за доношење ове одлуке је садржан у члану 29 став 2  Закона о државној имовини („Службени лист ЦГ“, бр. 21/09 и 40/11), члану 38 став 1 тачка 9 Закона о локалној самоуправи („Службени лист ЦГ“, бр. </w:t>
            </w:r>
            <w:r w:rsidR="00A32A7D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2/18, 34/19, 38/20, 50/22 и 84/22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), члану 35  став 1 тачка 9 и члана 38 став 1 Статута Општине Никшић („Службени л</w:t>
            </w:r>
            <w:r w:rsidR="009B371C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ист ЦГ- Општински прописи“, бр</w:t>
            </w:r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31/18</w:t>
            </w:r>
            <w:r w:rsidR="007C0BB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21/23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);</w:t>
            </w:r>
          </w:p>
          <w:p w:rsidR="0032600A" w:rsidRPr="00115F4F" w:rsidRDefault="0032600A" w:rsidP="003260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Ријеч је о сопственим надлежностима локалне самоуправе;</w:t>
            </w:r>
          </w:p>
          <w:p w:rsidR="00545787" w:rsidRPr="00115F4F" w:rsidRDefault="00545787" w:rsidP="00BB29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ab/>
              <w:t>Предложено</w:t>
            </w:r>
            <w:r w:rsidR="00FA526D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м Одлуком треба да се </w:t>
            </w:r>
            <w:r w:rsid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обезбјеђењем средстава </w:t>
            </w:r>
            <w:r w:rsid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помогне у стамбеном збрињавању 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Милош</w:t>
            </w:r>
            <w:r w:rsidR="00EF00B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Елезовић</w:t>
            </w:r>
            <w:r w:rsidR="00EF00B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, Радосав</w:t>
            </w:r>
            <w:r w:rsidR="00EF00B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Радуловић и Милијан</w:t>
            </w:r>
            <w:r w:rsidR="00EF00B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Пејовић</w:t>
            </w:r>
            <w:r w:rsid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,</w:t>
            </w:r>
            <w:r w:rsidR="00C561D0">
              <w:t xml:space="preserve"> </w:t>
            </w:r>
            <w:r w:rsidR="00C561D0" w:rsidRP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kojи бесправно користе стамбени простор у објекту број 1, на катастарској парцели број 4454/1 уписан у „В“ листу листа непокретности број 2962 КО Никшић као својина општине Никшић, који је предвиђен за уклањање ради изградње Ватрогасног дома</w:t>
            </w:r>
            <w:r w:rsid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545787" w:rsidRPr="00115F4F" w:rsidRDefault="00D104AD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ab/>
            </w:r>
            <w:r w:rsidR="00545787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Проблем нема родну димензију;</w:t>
            </w:r>
          </w:p>
          <w:p w:rsidR="00545787" w:rsidRPr="00115F4F" w:rsidRDefault="00545787" w:rsidP="00115F4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Узрок проблема је тај </w:t>
            </w:r>
            <w:r w:rsid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поменута лица бесправно користе </w:t>
            </w:r>
            <w:r w:rsidR="00DB7B5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стамбене просторе на земљишту у располагању Општине, на којем иста има намјеру да гради </w:t>
            </w:r>
            <w:r w:rsidR="006D5FD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В</w:t>
            </w:r>
            <w:r w:rsidR="00DB7B5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атрогасни дом</w:t>
            </w:r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8F5A72" w:rsidRPr="00115F4F" w:rsidRDefault="00545787" w:rsidP="00115F4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Последица овог проблема је </w:t>
            </w:r>
            <w:r w:rsidR="008F5A72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што </w:t>
            </w:r>
            <w:r w:rsidR="00DB7B5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без ослобађања ове локације општина би морала тражити другу за изградњу Ватрогасног дома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; </w:t>
            </w:r>
            <w:r w:rsidR="00FA526D"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</w:p>
          <w:p w:rsidR="00115F4F" w:rsidRDefault="00DB7B5F" w:rsidP="00BB29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Оштећени субјекти су </w:t>
            </w:r>
            <w:r w:rsidR="00545787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Милош Елезовић, Радосав</w:t>
            </w:r>
            <w:r w:rsid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Радуловић и Милијан</w:t>
            </w:r>
            <w:r w:rsid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Пејовић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као и општина Никшић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; </w:t>
            </w:r>
          </w:p>
          <w:p w:rsidR="009E489E" w:rsidRPr="00115F4F" w:rsidRDefault="008F5A72" w:rsidP="00DB7B5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У случају “статус qуо” </w:t>
            </w:r>
            <w:r w:rsidR="00DB7B5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општина Никшић би морала обезбиједити другу локацију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Default="00D104AD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65103" w:rsidRDefault="00F6510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B00FB3" w:rsidRDefault="00B00FB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F65103" w:rsidRPr="00F65103" w:rsidRDefault="00F6510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39FB" w:rsidRPr="00F039FB" w:rsidRDefault="00545787" w:rsidP="00BB29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Циљ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обезбиједи</w:t>
            </w:r>
            <w:proofErr w:type="spellEnd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новчан</w:t>
            </w:r>
            <w:r w:rsidR="00EF00B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proofErr w:type="spellStart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помоћ</w:t>
            </w:r>
            <w:proofErr w:type="spellEnd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стамбеном</w:t>
            </w:r>
            <w:proofErr w:type="spellEnd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збрињавању</w:t>
            </w:r>
            <w:proofErr w:type="spellEnd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Милош</w:t>
            </w:r>
            <w:proofErr w:type="spellEnd"/>
            <w:r w:rsidR="00EF00B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Елезовић</w:t>
            </w:r>
            <w:proofErr w:type="spellEnd"/>
            <w:r w:rsidR="00EF00B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Радосав</w:t>
            </w:r>
            <w:proofErr w:type="spellEnd"/>
            <w:r w:rsidR="00EF00B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Радуловић</w:t>
            </w:r>
            <w:proofErr w:type="spellEnd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Милијан</w:t>
            </w:r>
            <w:proofErr w:type="spellEnd"/>
            <w:r w:rsidR="00EF00B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Пејовић</w:t>
            </w:r>
            <w:proofErr w:type="spellEnd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циљу</w:t>
            </w:r>
            <w:proofErr w:type="spellEnd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побољшања</w:t>
            </w:r>
            <w:proofErr w:type="spellEnd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њиховог</w:t>
            </w:r>
            <w:proofErr w:type="spellEnd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социјалног</w:t>
            </w:r>
            <w:proofErr w:type="spellEnd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статуса</w:t>
            </w:r>
            <w:proofErr w:type="spellEnd"/>
            <w:r w:rsidR="00F039FB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F039FB" w:rsidRPr="00D05E40" w:rsidRDefault="000A1BF5" w:rsidP="00D05E4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proofErr w:type="gram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9E489E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</w:t>
            </w:r>
            <w:r w:rsid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D104AD" w:rsidRDefault="00D104AD" w:rsidP="00D104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међу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39FB" w:rsidRPr="00F039FB" w:rsidRDefault="00545787" w:rsidP="00122A0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22A0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ослободила локацију за изградњу Ватрогасног дома на начин што ће </w:t>
            </w:r>
            <w:r w:rsid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новчану </w:t>
            </w:r>
            <w:r w:rsidR="00122A0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помоћ физичким лицима </w:t>
            </w:r>
            <w:r w:rsidR="00122A04" w:rsidRPr="00122A0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kojи бесправно користе стамбени простор</w:t>
            </w:r>
            <w:r w:rsidR="00122A0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који се налази на тој локацију</w:t>
            </w:r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3D3FB6" w:rsidRPr="009F37BA" w:rsidRDefault="00A554D8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Мимо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proofErr w:type="gram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овај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AB16F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554D8" w:rsidRPr="00A554D8" w:rsidRDefault="009E489E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9E489E" w:rsidP="009E489E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CD72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F5A72" w:rsidRDefault="00F039FB" w:rsidP="00545787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-    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директно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Милош</w:t>
            </w:r>
            <w:proofErr w:type="spellEnd"/>
            <w:r w:rsid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Елезовић</w:t>
            </w:r>
            <w:proofErr w:type="spellEnd"/>
            <w:r w:rsidR="00BB29E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Радосави</w:t>
            </w:r>
            <w:proofErr w:type="spellEnd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Радуловић</w:t>
            </w:r>
            <w:proofErr w:type="spellEnd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Милијани</w:t>
            </w:r>
            <w:proofErr w:type="spellEnd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B29E8" w:rsidRPr="00BB29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Пејовић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545787" w:rsidRPr="00545787" w:rsidRDefault="00545787" w:rsidP="00545787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-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изазаваће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45787" w:rsidRPr="00545787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задржавање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постојећих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а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B21F55" w:rsidRPr="00B21F55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стварају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</w:t>
            </w:r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вна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5.Процјена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једнократно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временског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9E489E" w:rsidRPr="00CD7298" w:rsidRDefault="00CD7298" w:rsidP="00CD7298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проценту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F03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72F3A" w:rsidRPr="00972F3A" w:rsidRDefault="00972F3A" w:rsidP="00972F3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="00EF00B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је</w:t>
            </w:r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оптине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72F3A" w:rsidRPr="00972F3A" w:rsidRDefault="00EF00B4" w:rsidP="00972F3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еопходна</w:t>
            </w:r>
            <w:proofErr w:type="spellEnd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су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икшић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72F3A" w:rsidRPr="00972F3A" w:rsidRDefault="00972F3A" w:rsidP="00972F3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Имлементацијом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нeће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остварити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јединицу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0A2DE6" w:rsidRPr="000A2DE6" w:rsidRDefault="00972F3A" w:rsidP="00972F3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</w:t>
            </w:r>
            <w:proofErr w:type="spellEnd"/>
            <w:r w:rsidR="00EF00B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</w:t>
            </w:r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а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545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0A2DE6" w:rsidRPr="000A2DE6" w:rsidRDefault="009E489E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РИА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545787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CC63BD" w:rsidRPr="00CC63BD" w:rsidRDefault="000A2DE6" w:rsidP="00CC63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израде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вршене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B21F55" w:rsidRDefault="00C07A0F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7A0F" w:rsidRPr="00C07A0F" w:rsidRDefault="009E489E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7: </w:t>
            </w:r>
            <w:proofErr w:type="spellStart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:rsidR="00C07A0F" w:rsidRPr="00C07A0F" w:rsidRDefault="00C07A0F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C07A0F" w:rsidRPr="00C07A0F" w:rsidRDefault="00C07A0F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индикатори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према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07A0F" w:rsidRDefault="00C07A0F" w:rsidP="00C07A0F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C07A0F" w:rsidRPr="00C07A0F" w:rsidRDefault="00C07A0F" w:rsidP="00C07A0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предложених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C07A0F" w:rsidRDefault="00C07A0F" w:rsidP="008024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оквиру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предсједник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AB16F2" w:rsidRDefault="00AB16F2" w:rsidP="00C07A0F">
      <w:pPr>
        <w:rPr>
          <w:rFonts w:ascii="Arial" w:hAnsi="Arial" w:cs="Arial"/>
          <w:b/>
        </w:rPr>
      </w:pPr>
    </w:p>
    <w:p w:rsidR="00C07A0F" w:rsidRPr="00AB16F2" w:rsidRDefault="00AB16F2" w:rsidP="00C07A0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Датум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мјесто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E33E6">
        <w:rPr>
          <w:rFonts w:ascii="Arial" w:hAnsi="Arial" w:cs="Arial"/>
          <w:b/>
        </w:rPr>
        <w:t xml:space="preserve"> </w:t>
      </w:r>
      <w:r w:rsidR="007C0BBF">
        <w:rPr>
          <w:rFonts w:ascii="Arial" w:hAnsi="Arial" w:cs="Arial"/>
          <w:b/>
          <w:lang w:val="sr-Cyrl-ME"/>
        </w:rPr>
        <w:t xml:space="preserve">         </w:t>
      </w:r>
      <w:r w:rsidR="007E7A0E" w:rsidRPr="00C07A0F">
        <w:rPr>
          <w:rFonts w:ascii="Arial" w:hAnsi="Arial" w:cs="Arial"/>
          <w:b/>
        </w:rPr>
        <w:t>ДИРЕКТОР</w:t>
      </w:r>
    </w:p>
    <w:p w:rsidR="00972845" w:rsidRDefault="00C07A0F" w:rsidP="00C07A0F">
      <w:pPr>
        <w:rPr>
          <w:rFonts w:ascii="Arial" w:hAnsi="Arial" w:cs="Arial"/>
          <w:b/>
          <w:lang w:val="sr-Cyrl-ME"/>
        </w:rPr>
      </w:pPr>
      <w:proofErr w:type="spellStart"/>
      <w:r w:rsidRPr="00C07A0F">
        <w:rPr>
          <w:rFonts w:ascii="Arial" w:hAnsi="Arial" w:cs="Arial"/>
          <w:b/>
        </w:rPr>
        <w:t>Никшић</w:t>
      </w:r>
      <w:proofErr w:type="spellEnd"/>
      <w:r w:rsidRPr="00C07A0F">
        <w:rPr>
          <w:rFonts w:ascii="Arial" w:hAnsi="Arial" w:cs="Arial"/>
          <w:b/>
        </w:rPr>
        <w:t xml:space="preserve">, </w:t>
      </w:r>
      <w:r w:rsidR="00EF00B4">
        <w:rPr>
          <w:rFonts w:ascii="Arial" w:hAnsi="Arial" w:cs="Arial"/>
          <w:b/>
          <w:lang w:val="sr-Cyrl-ME"/>
        </w:rPr>
        <w:t>02.октобар</w:t>
      </w:r>
      <w:r w:rsidR="007C0BBF">
        <w:rPr>
          <w:rFonts w:ascii="Arial" w:hAnsi="Arial" w:cs="Arial"/>
          <w:b/>
          <w:lang w:val="sr-Cyrl-ME"/>
        </w:rPr>
        <w:t xml:space="preserve"> 2023</w:t>
      </w:r>
      <w:r w:rsidRPr="00C07A0F">
        <w:rPr>
          <w:rFonts w:ascii="Arial" w:hAnsi="Arial" w:cs="Arial"/>
          <w:b/>
        </w:rPr>
        <w:t xml:space="preserve">. </w:t>
      </w:r>
      <w:proofErr w:type="spellStart"/>
      <w:proofErr w:type="gramStart"/>
      <w:r w:rsidRPr="00C07A0F">
        <w:rPr>
          <w:rFonts w:ascii="Arial" w:hAnsi="Arial" w:cs="Arial"/>
          <w:b/>
        </w:rPr>
        <w:t>године</w:t>
      </w:r>
      <w:proofErr w:type="spellEnd"/>
      <w:proofErr w:type="gramEnd"/>
      <w:r w:rsidR="0031197C">
        <w:rPr>
          <w:rFonts w:ascii="Arial" w:hAnsi="Arial" w:cs="Arial"/>
          <w:b/>
        </w:rPr>
        <w:t xml:space="preserve">    </w:t>
      </w:r>
      <w:r w:rsidR="0031197C">
        <w:rPr>
          <w:rFonts w:ascii="Arial" w:hAnsi="Arial" w:cs="Arial"/>
          <w:b/>
        </w:rPr>
        <w:tab/>
        <w:t xml:space="preserve">      </w:t>
      </w:r>
      <w:r w:rsidR="0031197C">
        <w:rPr>
          <w:rFonts w:ascii="Arial" w:hAnsi="Arial" w:cs="Arial"/>
          <w:b/>
        </w:rPr>
        <w:tab/>
        <w:t xml:space="preserve">       </w:t>
      </w:r>
      <w:r w:rsidR="00A9385B">
        <w:rPr>
          <w:rFonts w:ascii="Arial" w:hAnsi="Arial" w:cs="Arial"/>
          <w:b/>
          <w:lang w:val="sr-Cyrl-ME"/>
        </w:rPr>
        <w:t xml:space="preserve">          </w:t>
      </w:r>
      <w:r w:rsidR="008E33E6">
        <w:rPr>
          <w:rFonts w:ascii="Arial" w:hAnsi="Arial" w:cs="Arial"/>
          <w:b/>
        </w:rPr>
        <w:t xml:space="preserve"> </w:t>
      </w:r>
      <w:r w:rsidR="00B74EFE">
        <w:rPr>
          <w:rFonts w:ascii="Arial" w:hAnsi="Arial" w:cs="Arial"/>
          <w:b/>
          <w:lang w:val="sr-Cyrl-ME"/>
        </w:rPr>
        <w:t xml:space="preserve">       </w:t>
      </w:r>
      <w:proofErr w:type="spellStart"/>
      <w:r w:rsidR="008E33E6">
        <w:rPr>
          <w:rFonts w:ascii="Arial" w:hAnsi="Arial" w:cs="Arial"/>
          <w:b/>
        </w:rPr>
        <w:t>Радосав</w:t>
      </w:r>
      <w:proofErr w:type="spellEnd"/>
      <w:r w:rsidR="008E33E6">
        <w:rPr>
          <w:rFonts w:ascii="Arial" w:hAnsi="Arial" w:cs="Arial"/>
          <w:b/>
        </w:rPr>
        <w:t xml:space="preserve"> </w:t>
      </w:r>
      <w:proofErr w:type="spellStart"/>
      <w:r w:rsidR="008E33E6">
        <w:rPr>
          <w:rFonts w:ascii="Arial" w:hAnsi="Arial" w:cs="Arial"/>
          <w:b/>
        </w:rPr>
        <w:t>Урошевић</w:t>
      </w:r>
      <w:proofErr w:type="spellEnd"/>
    </w:p>
    <w:p w:rsidR="00B74EFE" w:rsidRPr="00B74EFE" w:rsidRDefault="00B74EFE" w:rsidP="00C07A0F">
      <w:pPr>
        <w:rPr>
          <w:rFonts w:ascii="Arial" w:hAnsi="Arial" w:cs="Arial"/>
          <w:b/>
          <w:lang w:val="sr-Cyrl-ME"/>
        </w:rPr>
      </w:pPr>
    </w:p>
    <w:p w:rsidR="00B74EFE" w:rsidRPr="00B74EFE" w:rsidRDefault="00B74EFE" w:rsidP="00C07A0F">
      <w:pPr>
        <w:rPr>
          <w:rFonts w:ascii="Arial" w:hAnsi="Arial" w:cs="Arial"/>
          <w:b/>
          <w:lang w:val="sr-Cyrl-ME"/>
        </w:rPr>
      </w:pPr>
    </w:p>
    <w:p w:rsidR="00B74EFE" w:rsidRPr="00B74EFE" w:rsidRDefault="00B74EFE" w:rsidP="00B74EF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ME"/>
        </w:rPr>
        <w:t xml:space="preserve">                                                                            </w:t>
      </w:r>
      <w:r w:rsidRPr="00B74EFE">
        <w:rPr>
          <w:rFonts w:ascii="Arial" w:hAnsi="Arial" w:cs="Arial"/>
          <w:b/>
        </w:rPr>
        <w:t>СЕКРЕТАРИЈАТ ЗА ФИНАНСИЈЕ,</w:t>
      </w:r>
    </w:p>
    <w:p w:rsidR="00B74EFE" w:rsidRPr="00B74EFE" w:rsidRDefault="00B74EFE" w:rsidP="00B74EF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ME"/>
        </w:rPr>
        <w:t xml:space="preserve">                                                                               </w:t>
      </w:r>
      <w:r w:rsidRPr="00B74EFE">
        <w:rPr>
          <w:rFonts w:ascii="Arial" w:hAnsi="Arial" w:cs="Arial"/>
          <w:b/>
        </w:rPr>
        <w:t>РАЗВОЈ И ПРЕДУЗЕТНИШТВО</w:t>
      </w:r>
    </w:p>
    <w:p w:rsidR="00B74EFE" w:rsidRPr="00B74EFE" w:rsidRDefault="00B74EFE" w:rsidP="00B74EFE">
      <w:pPr>
        <w:rPr>
          <w:rFonts w:ascii="Arial" w:hAnsi="Arial" w:cs="Arial"/>
          <w:b/>
        </w:rPr>
      </w:pPr>
    </w:p>
    <w:p w:rsidR="00B74EFE" w:rsidRPr="00B74EFE" w:rsidRDefault="00B74EFE" w:rsidP="00B74EF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ME"/>
        </w:rPr>
        <w:t xml:space="preserve">                                                                                                     </w:t>
      </w:r>
      <w:r w:rsidRPr="00B74EFE">
        <w:rPr>
          <w:rFonts w:ascii="Arial" w:hAnsi="Arial" w:cs="Arial"/>
          <w:b/>
        </w:rPr>
        <w:t>СЕКРЕТАР</w:t>
      </w:r>
    </w:p>
    <w:p w:rsidR="00AB16F2" w:rsidRPr="00AB16F2" w:rsidRDefault="00B74EFE" w:rsidP="00B74EF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ME"/>
        </w:rPr>
        <w:t xml:space="preserve">                                                                                                   </w:t>
      </w:r>
      <w:proofErr w:type="spellStart"/>
      <w:r w:rsidRPr="00B74EFE">
        <w:rPr>
          <w:rFonts w:ascii="Arial" w:hAnsi="Arial" w:cs="Arial"/>
          <w:b/>
        </w:rPr>
        <w:t>Зоран</w:t>
      </w:r>
      <w:proofErr w:type="spellEnd"/>
      <w:r w:rsidRPr="00B74EFE">
        <w:rPr>
          <w:rFonts w:ascii="Arial" w:hAnsi="Arial" w:cs="Arial"/>
          <w:b/>
        </w:rPr>
        <w:t xml:space="preserve"> </w:t>
      </w:r>
      <w:proofErr w:type="spellStart"/>
      <w:r w:rsidRPr="00B74EFE">
        <w:rPr>
          <w:rFonts w:ascii="Arial" w:hAnsi="Arial" w:cs="Arial"/>
          <w:b/>
        </w:rPr>
        <w:t>Шошкић</w:t>
      </w:r>
      <w:proofErr w:type="spellEnd"/>
    </w:p>
    <w:p w:rsidR="00AB16F2" w:rsidRPr="00AB16F2" w:rsidRDefault="00AB16F2" w:rsidP="00C07A0F">
      <w:pPr>
        <w:rPr>
          <w:rFonts w:ascii="Arial" w:hAnsi="Arial" w:cs="Arial"/>
          <w:b/>
        </w:rPr>
      </w:pPr>
    </w:p>
    <w:p w:rsidR="00AB16F2" w:rsidRPr="00AB16F2" w:rsidRDefault="00AB16F2" w:rsidP="009F698F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sectPr w:rsidR="00AB16F2" w:rsidRPr="00AB16F2" w:rsidSect="00F039F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7B" w:rsidRDefault="0054007B" w:rsidP="00BA7396">
      <w:r>
        <w:separator/>
      </w:r>
    </w:p>
  </w:endnote>
  <w:endnote w:type="continuationSeparator" w:id="0">
    <w:p w:rsidR="0054007B" w:rsidRDefault="0054007B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7B" w:rsidRDefault="0054007B" w:rsidP="00BA7396">
      <w:r>
        <w:separator/>
      </w:r>
    </w:p>
  </w:footnote>
  <w:footnote w:type="continuationSeparator" w:id="0">
    <w:p w:rsidR="0054007B" w:rsidRDefault="0054007B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146E6"/>
    <w:rsid w:val="00050C3D"/>
    <w:rsid w:val="000511F0"/>
    <w:rsid w:val="000629D8"/>
    <w:rsid w:val="00067FCF"/>
    <w:rsid w:val="000716AC"/>
    <w:rsid w:val="00075306"/>
    <w:rsid w:val="00083584"/>
    <w:rsid w:val="000869F2"/>
    <w:rsid w:val="00090046"/>
    <w:rsid w:val="000A1BF5"/>
    <w:rsid w:val="000A2DE6"/>
    <w:rsid w:val="000E1AC1"/>
    <w:rsid w:val="000E5392"/>
    <w:rsid w:val="000E7E95"/>
    <w:rsid w:val="000F2F4B"/>
    <w:rsid w:val="00115F4F"/>
    <w:rsid w:val="00122A04"/>
    <w:rsid w:val="00136E1D"/>
    <w:rsid w:val="00145F75"/>
    <w:rsid w:val="0015013E"/>
    <w:rsid w:val="00154647"/>
    <w:rsid w:val="00162BB1"/>
    <w:rsid w:val="00170D2F"/>
    <w:rsid w:val="001971F2"/>
    <w:rsid w:val="001C481A"/>
    <w:rsid w:val="001C7348"/>
    <w:rsid w:val="001D0BF0"/>
    <w:rsid w:val="001D4D04"/>
    <w:rsid w:val="001E1794"/>
    <w:rsid w:val="002072BA"/>
    <w:rsid w:val="002138CD"/>
    <w:rsid w:val="00235BF5"/>
    <w:rsid w:val="002474AB"/>
    <w:rsid w:val="0025076F"/>
    <w:rsid w:val="00256EAD"/>
    <w:rsid w:val="00267C7D"/>
    <w:rsid w:val="00282840"/>
    <w:rsid w:val="002829DE"/>
    <w:rsid w:val="00284A91"/>
    <w:rsid w:val="00294662"/>
    <w:rsid w:val="00295023"/>
    <w:rsid w:val="002A07CA"/>
    <w:rsid w:val="002A6869"/>
    <w:rsid w:val="002C0B7F"/>
    <w:rsid w:val="002D3A58"/>
    <w:rsid w:val="002E7569"/>
    <w:rsid w:val="00310915"/>
    <w:rsid w:val="00310EEE"/>
    <w:rsid w:val="0031197C"/>
    <w:rsid w:val="00322389"/>
    <w:rsid w:val="0032600A"/>
    <w:rsid w:val="00330FF8"/>
    <w:rsid w:val="00357476"/>
    <w:rsid w:val="0037502D"/>
    <w:rsid w:val="00375B76"/>
    <w:rsid w:val="00386B01"/>
    <w:rsid w:val="00392F99"/>
    <w:rsid w:val="00395587"/>
    <w:rsid w:val="003A1026"/>
    <w:rsid w:val="003B69C6"/>
    <w:rsid w:val="003D3FB6"/>
    <w:rsid w:val="003E27A0"/>
    <w:rsid w:val="003F334E"/>
    <w:rsid w:val="00421C05"/>
    <w:rsid w:val="00467AA4"/>
    <w:rsid w:val="0047459A"/>
    <w:rsid w:val="00477D1F"/>
    <w:rsid w:val="004A4396"/>
    <w:rsid w:val="004B549B"/>
    <w:rsid w:val="004E1351"/>
    <w:rsid w:val="004F4F9C"/>
    <w:rsid w:val="00504237"/>
    <w:rsid w:val="005231CB"/>
    <w:rsid w:val="0054007B"/>
    <w:rsid w:val="00545787"/>
    <w:rsid w:val="0054756C"/>
    <w:rsid w:val="005505CD"/>
    <w:rsid w:val="005602EB"/>
    <w:rsid w:val="00570A84"/>
    <w:rsid w:val="00573DE6"/>
    <w:rsid w:val="00573FBB"/>
    <w:rsid w:val="005805F3"/>
    <w:rsid w:val="005C4266"/>
    <w:rsid w:val="005F00B7"/>
    <w:rsid w:val="005F03ED"/>
    <w:rsid w:val="005F6D49"/>
    <w:rsid w:val="00601210"/>
    <w:rsid w:val="006129CD"/>
    <w:rsid w:val="00632902"/>
    <w:rsid w:val="006710AA"/>
    <w:rsid w:val="00673F68"/>
    <w:rsid w:val="00681DE1"/>
    <w:rsid w:val="00691E63"/>
    <w:rsid w:val="006949BD"/>
    <w:rsid w:val="006A1B2C"/>
    <w:rsid w:val="006A3B25"/>
    <w:rsid w:val="006A3B76"/>
    <w:rsid w:val="006B145E"/>
    <w:rsid w:val="006B4020"/>
    <w:rsid w:val="006C4F93"/>
    <w:rsid w:val="006C670A"/>
    <w:rsid w:val="006D5FDE"/>
    <w:rsid w:val="006E4E97"/>
    <w:rsid w:val="006F1605"/>
    <w:rsid w:val="007000DC"/>
    <w:rsid w:val="00702CFF"/>
    <w:rsid w:val="00703098"/>
    <w:rsid w:val="007043B6"/>
    <w:rsid w:val="00705E35"/>
    <w:rsid w:val="00714A17"/>
    <w:rsid w:val="00721DB9"/>
    <w:rsid w:val="00733149"/>
    <w:rsid w:val="00734EBE"/>
    <w:rsid w:val="00736E8D"/>
    <w:rsid w:val="00741A35"/>
    <w:rsid w:val="00764421"/>
    <w:rsid w:val="007948FA"/>
    <w:rsid w:val="007A1C7D"/>
    <w:rsid w:val="007A4595"/>
    <w:rsid w:val="007C0BBF"/>
    <w:rsid w:val="007C12EB"/>
    <w:rsid w:val="007D05DC"/>
    <w:rsid w:val="007E7A0E"/>
    <w:rsid w:val="00802432"/>
    <w:rsid w:val="008047E8"/>
    <w:rsid w:val="008169A7"/>
    <w:rsid w:val="008301C9"/>
    <w:rsid w:val="008322D4"/>
    <w:rsid w:val="00833765"/>
    <w:rsid w:val="0085327D"/>
    <w:rsid w:val="00857CB7"/>
    <w:rsid w:val="00871235"/>
    <w:rsid w:val="00881042"/>
    <w:rsid w:val="00882BFB"/>
    <w:rsid w:val="008A2781"/>
    <w:rsid w:val="008A5476"/>
    <w:rsid w:val="008B09E9"/>
    <w:rsid w:val="008C0535"/>
    <w:rsid w:val="008C50CA"/>
    <w:rsid w:val="008E33E6"/>
    <w:rsid w:val="008E4862"/>
    <w:rsid w:val="008E6C79"/>
    <w:rsid w:val="008E75A4"/>
    <w:rsid w:val="008F5A72"/>
    <w:rsid w:val="00935411"/>
    <w:rsid w:val="00944EC8"/>
    <w:rsid w:val="009535C3"/>
    <w:rsid w:val="00960A46"/>
    <w:rsid w:val="00972845"/>
    <w:rsid w:val="00972F3A"/>
    <w:rsid w:val="00981466"/>
    <w:rsid w:val="009874EB"/>
    <w:rsid w:val="00987749"/>
    <w:rsid w:val="00991608"/>
    <w:rsid w:val="009B371C"/>
    <w:rsid w:val="009E489E"/>
    <w:rsid w:val="009F37BA"/>
    <w:rsid w:val="009F43DC"/>
    <w:rsid w:val="009F698F"/>
    <w:rsid w:val="00A07773"/>
    <w:rsid w:val="00A265F9"/>
    <w:rsid w:val="00A32A7D"/>
    <w:rsid w:val="00A34128"/>
    <w:rsid w:val="00A3573A"/>
    <w:rsid w:val="00A45C07"/>
    <w:rsid w:val="00A538DC"/>
    <w:rsid w:val="00A554D8"/>
    <w:rsid w:val="00A63669"/>
    <w:rsid w:val="00A71223"/>
    <w:rsid w:val="00A71595"/>
    <w:rsid w:val="00A9385B"/>
    <w:rsid w:val="00AA0043"/>
    <w:rsid w:val="00AA117E"/>
    <w:rsid w:val="00AB16F2"/>
    <w:rsid w:val="00AC6578"/>
    <w:rsid w:val="00AD100C"/>
    <w:rsid w:val="00AD48A3"/>
    <w:rsid w:val="00B00FB3"/>
    <w:rsid w:val="00B21F55"/>
    <w:rsid w:val="00B2646E"/>
    <w:rsid w:val="00B40AA1"/>
    <w:rsid w:val="00B535B4"/>
    <w:rsid w:val="00B5453D"/>
    <w:rsid w:val="00B7089B"/>
    <w:rsid w:val="00B745B3"/>
    <w:rsid w:val="00B74EFE"/>
    <w:rsid w:val="00B763F3"/>
    <w:rsid w:val="00BA7396"/>
    <w:rsid w:val="00BA7877"/>
    <w:rsid w:val="00BB29E8"/>
    <w:rsid w:val="00BB753E"/>
    <w:rsid w:val="00BC4165"/>
    <w:rsid w:val="00BD4282"/>
    <w:rsid w:val="00BE11B9"/>
    <w:rsid w:val="00C07A0F"/>
    <w:rsid w:val="00C111D8"/>
    <w:rsid w:val="00C179F9"/>
    <w:rsid w:val="00C450DD"/>
    <w:rsid w:val="00C5148C"/>
    <w:rsid w:val="00C549B4"/>
    <w:rsid w:val="00C561D0"/>
    <w:rsid w:val="00C6561D"/>
    <w:rsid w:val="00C72668"/>
    <w:rsid w:val="00C75DF0"/>
    <w:rsid w:val="00C773E3"/>
    <w:rsid w:val="00C86ADC"/>
    <w:rsid w:val="00C87DA2"/>
    <w:rsid w:val="00C96017"/>
    <w:rsid w:val="00CC63BD"/>
    <w:rsid w:val="00CD7298"/>
    <w:rsid w:val="00D05E40"/>
    <w:rsid w:val="00D06D2A"/>
    <w:rsid w:val="00D104AD"/>
    <w:rsid w:val="00D25692"/>
    <w:rsid w:val="00D27C82"/>
    <w:rsid w:val="00D4308A"/>
    <w:rsid w:val="00D4705A"/>
    <w:rsid w:val="00D7389C"/>
    <w:rsid w:val="00D87CB1"/>
    <w:rsid w:val="00D93275"/>
    <w:rsid w:val="00DB7B5F"/>
    <w:rsid w:val="00DF5EA1"/>
    <w:rsid w:val="00E02377"/>
    <w:rsid w:val="00E3478E"/>
    <w:rsid w:val="00E61671"/>
    <w:rsid w:val="00E721E9"/>
    <w:rsid w:val="00EC75AA"/>
    <w:rsid w:val="00ED0AF4"/>
    <w:rsid w:val="00ED0F74"/>
    <w:rsid w:val="00ED4766"/>
    <w:rsid w:val="00EE0637"/>
    <w:rsid w:val="00EF00B4"/>
    <w:rsid w:val="00F039FB"/>
    <w:rsid w:val="00F20105"/>
    <w:rsid w:val="00F65103"/>
    <w:rsid w:val="00F72683"/>
    <w:rsid w:val="00F7433F"/>
    <w:rsid w:val="00F829CD"/>
    <w:rsid w:val="00FA0BC1"/>
    <w:rsid w:val="00FA2946"/>
    <w:rsid w:val="00FA526D"/>
    <w:rsid w:val="00FB6BD5"/>
    <w:rsid w:val="00FB7CBA"/>
    <w:rsid w:val="00FC367E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7F6C-338D-49C1-997D-029646B4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10</cp:revision>
  <cp:lastPrinted>2023-10-02T07:13:00Z</cp:lastPrinted>
  <dcterms:created xsi:type="dcterms:W3CDTF">2023-09-21T06:08:00Z</dcterms:created>
  <dcterms:modified xsi:type="dcterms:W3CDTF">2023-10-02T07:14:00Z</dcterms:modified>
</cp:coreProperties>
</file>