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36ED" w14:textId="49ACEF1F" w:rsidR="00EF1D5B" w:rsidRPr="00A875F3" w:rsidRDefault="005756F1" w:rsidP="004A5E43">
      <w:pPr>
        <w:autoSpaceDE w:val="0"/>
        <w:autoSpaceDN w:val="0"/>
        <w:adjustRightInd w:val="0"/>
        <w:jc w:val="right"/>
        <w:rPr>
          <w:rFonts w:ascii="Arial" w:hAnsi="Arial" w:cs="Arial"/>
          <w:b/>
          <w:bCs w:val="0"/>
          <w:color w:val="17365D"/>
          <w:szCs w:val="24"/>
          <w:lang w:val="pl-PL"/>
        </w:rPr>
      </w:pPr>
      <w:r w:rsidRPr="00A875F3">
        <w:rPr>
          <w:rFonts w:ascii="Arial" w:hAnsi="Arial" w:cs="Arial"/>
          <w:b/>
          <w:bCs w:val="0"/>
          <w:color w:val="17365D"/>
          <w:szCs w:val="24"/>
          <w:lang w:val="pl-PL"/>
        </w:rPr>
        <w:t>ОБРАЗАЦ</w:t>
      </w:r>
    </w:p>
    <w:p w14:paraId="64A5FA10" w14:textId="77777777" w:rsidR="00EF1D5B" w:rsidRPr="005756F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p w14:paraId="4E771B18" w14:textId="77777777" w:rsidR="00EF1D5B" w:rsidRPr="005756F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EF1D5B" w:rsidRPr="005756F1" w14:paraId="0E9AD239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4A57350B" w14:textId="77777777" w:rsidR="00EF1D5B" w:rsidRPr="00A875F3" w:rsidRDefault="005756F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ИЗВЈЕШТАЈ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АНАЛИЗИ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УТИЦАЈА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САМОУПРАВЕ</w:t>
            </w:r>
          </w:p>
        </w:tc>
      </w:tr>
      <w:tr w:rsidR="00EF1D5B" w:rsidRPr="005756F1" w14:paraId="7B64DED1" w14:textId="77777777" w:rsidTr="000F05ED">
        <w:tc>
          <w:tcPr>
            <w:tcW w:w="3978" w:type="dxa"/>
            <w:shd w:val="clear" w:color="auto" w:fill="D2EAF1"/>
          </w:tcPr>
          <w:p w14:paraId="647F8569" w14:textId="77777777" w:rsidR="00EF1D5B" w:rsidRPr="00A875F3" w:rsidRDefault="003B5BF3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ОБРАЂИВАЧ ПРОПИСА</w:t>
            </w:r>
          </w:p>
        </w:tc>
        <w:tc>
          <w:tcPr>
            <w:tcW w:w="5598" w:type="dxa"/>
            <w:shd w:val="clear" w:color="auto" w:fill="D2EAF1"/>
          </w:tcPr>
          <w:p w14:paraId="0B2DE989" w14:textId="77777777" w:rsidR="00EF1D5B" w:rsidRPr="00B147B8" w:rsidRDefault="003B5BF3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</w:pPr>
            <w:r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Секретаријат за културу, спорт, младе и социјално старање</w:t>
            </w:r>
          </w:p>
        </w:tc>
      </w:tr>
      <w:tr w:rsidR="00EF1D5B" w:rsidRPr="005756F1" w14:paraId="179CC0DA" w14:textId="77777777" w:rsidTr="000F05ED">
        <w:tc>
          <w:tcPr>
            <w:tcW w:w="3978" w:type="dxa"/>
          </w:tcPr>
          <w:p w14:paraId="67C50503" w14:textId="77777777" w:rsidR="00EF1D5B" w:rsidRPr="00A875F3" w:rsidRDefault="005756F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>НАЗИВ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>ПРОПИСА</w:t>
            </w:r>
          </w:p>
        </w:tc>
        <w:tc>
          <w:tcPr>
            <w:tcW w:w="5598" w:type="dxa"/>
          </w:tcPr>
          <w:p w14:paraId="0C5E457F" w14:textId="07228F61" w:rsidR="00EF1D5B" w:rsidRPr="001C3BC4" w:rsidRDefault="005756F1" w:rsidP="00DC55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акциони план за младе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у општини Никшић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за 2024. годину</w:t>
            </w:r>
          </w:p>
        </w:tc>
      </w:tr>
      <w:tr w:rsidR="00EF1D5B" w:rsidRPr="005756F1" w14:paraId="7DDE9BFD" w14:textId="77777777" w:rsidTr="000F05ED">
        <w:tc>
          <w:tcPr>
            <w:tcW w:w="9576" w:type="dxa"/>
            <w:gridSpan w:val="2"/>
            <w:shd w:val="clear" w:color="auto" w:fill="D2EAF1"/>
          </w:tcPr>
          <w:p w14:paraId="739F2902" w14:textId="77777777"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1.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</w:p>
          <w:p w14:paraId="3BF52C4F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</w:t>
            </w:r>
            <w:r w:rsidR="003C4D88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едица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захтјева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47B1B2D5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Навести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основ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стратешким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документима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072670F2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одступати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68C7A60A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ријеч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сопственим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надлежностима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пренесеном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повјереном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послу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4E39BB54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17D45C5C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посебни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</w:t>
            </w:r>
          </w:p>
          <w:p w14:paraId="48E7FCE7" w14:textId="751F1975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1A6E4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06DE0EB3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</w:t>
            </w:r>
            <w:r w:rsidR="00DA645F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0FE6A845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оштећени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начин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-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</w:t>
            </w:r>
          </w:p>
          <w:p w14:paraId="1ED21E3C" w14:textId="77777777" w:rsidR="00EF1D5B" w:rsidRPr="00A875F3" w:rsidRDefault="005756F1" w:rsidP="00984C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еволуирао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без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="00984C72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u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)?</w:t>
            </w:r>
          </w:p>
        </w:tc>
      </w:tr>
      <w:tr w:rsidR="00EF1D5B" w:rsidRPr="005756F1" w14:paraId="1E751672" w14:textId="77777777" w:rsidTr="000F05ED">
        <w:tc>
          <w:tcPr>
            <w:tcW w:w="9576" w:type="dxa"/>
            <w:gridSpan w:val="2"/>
          </w:tcPr>
          <w:p w14:paraId="2E368F71" w14:textId="77777777" w:rsidR="00DF32CE" w:rsidRDefault="00DF32CE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601341F4" w14:textId="34AB6460" w:rsidR="00EF1D5B" w:rsidRPr="00A875F3" w:rsidRDefault="005756F1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14:paraId="5DD61005" w14:textId="6297EA47" w:rsidR="00EF1D5B" w:rsidRPr="001C3BC4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основ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акционог плана за 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69202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младима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="00FB1B5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„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</w:t>
            </w:r>
            <w:r w:rsidR="00FB1B5F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ужбени</w:t>
            </w:r>
            <w:r w:rsidR="00EF1D5B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лист</w:t>
            </w:r>
            <w:r w:rsidR="00EF1D5B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</w:t>
            </w:r>
            <w:r w:rsid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 xml:space="preserve">рне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</w:t>
            </w:r>
            <w:r w:rsid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оре</w:t>
            </w:r>
            <w:r w:rsidR="00EF1D5B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”,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бр</w:t>
            </w:r>
            <w:r w:rsidR="00FB1B5F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ој</w:t>
            </w:r>
            <w:r w:rsidR="00FB1B5F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 w:rsidRP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br. 25/19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и </w:t>
            </w:r>
            <w:r w:rsidR="001C3BC4" w:rsidRP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27/19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)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Стратегија за младе Црне Горе 2023-2027.</w:t>
            </w:r>
          </w:p>
          <w:p w14:paraId="78317C9C" w14:textId="7C3C955B" w:rsidR="00EF1D5B" w:rsidRPr="001C3BC4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одступити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ближе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Обавеза локалних самоуправа јесте да се води дефинисаним оперативним циљевима Националне стратегије и пратећег Акционог плана 2023-2024.</w:t>
            </w:r>
          </w:p>
          <w:p w14:paraId="1D8662FC" w14:textId="70FA223A" w:rsidR="00EF1D5B" w:rsidRPr="001C3BC4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Ријеч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сопственим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надлежностима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омладинска политика на локалном нивоу у надлежности је Секретаријата за културу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спорт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младе и социјално старање који креира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спроводи и прати имплементацију активности за младе.</w:t>
            </w:r>
          </w:p>
          <w:p w14:paraId="00ADCC23" w14:textId="0E63451C" w:rsidR="001C3BC4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тежи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проблеме са којима се суочавају млади у Никшићу као и актери омладинске политике а све у ци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 побо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ша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 w:rsidR="001C3BC4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 положаја младих.</w:t>
            </w:r>
          </w:p>
          <w:p w14:paraId="23C69678" w14:textId="1C3E299D" w:rsidR="00987A86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посебан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аспекта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дефинисања мјера и активности водило се рачуна о постављању индикатора који имају родну димензију.</w:t>
            </w:r>
          </w:p>
          <w:p w14:paraId="66696B19" w14:textId="115EF5D4" w:rsidR="00EF1D5B" w:rsidRPr="00987A86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незапосленост младих, мали број младих у неформалном образовању, слаба посјећеност културних садржаја, низак степен учешћа у процесима креира</w:t>
            </w:r>
            <w:r w:rsidR="0080674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 политика, мали бр</w:t>
            </w:r>
            <w:r w:rsidR="001A6E4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ј младих који се баве волонтира</w:t>
            </w:r>
            <w:r w:rsidR="0080674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ем и активизмом, и сл.</w:t>
            </w:r>
          </w:p>
          <w:p w14:paraId="753E9511" w14:textId="2EF54B59" w:rsidR="00EF1D5B" w:rsidRDefault="005756F1" w:rsidP="002D1A66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</w:t>
            </w:r>
            <w:r w:rsidR="00A94790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л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пасивност младих</w:t>
            </w:r>
            <w:r w:rsidR="0080674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потреба да напусте град и непостојање координисаног приступа проблемима.</w:t>
            </w:r>
          </w:p>
          <w:p w14:paraId="1CC82CE0" w14:textId="28578018" w:rsidR="00987A86" w:rsidRPr="00987A86" w:rsidRDefault="00987A86" w:rsidP="002D1A66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Субјекти који су оштећени су прије свега млади, а затим и институције које се баве омладинском политиком.</w:t>
            </w:r>
          </w:p>
          <w:p w14:paraId="03EC67C2" w14:textId="5025DE28" w:rsidR="00987A86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DA0FAA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quо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могло би доћи до успорава</w:t>
            </w:r>
            <w:r w:rsidR="0080674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 w:rsidR="00987A8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 имплементације планираних активности и пројеката који су од значаја за рјешавање проблема са којима се млади суочавају.</w:t>
            </w:r>
          </w:p>
          <w:p w14:paraId="205F3F6B" w14:textId="77777777" w:rsidR="00973BEB" w:rsidRDefault="00973BEB" w:rsidP="00987A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191A3BCE" w14:textId="7E29B059" w:rsidR="00DF32CE" w:rsidRPr="00A875F3" w:rsidRDefault="00DF32CE" w:rsidP="00987A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71AA9FAE" w14:textId="77777777" w:rsidTr="000F05ED">
        <w:tc>
          <w:tcPr>
            <w:tcW w:w="9576" w:type="dxa"/>
            <w:gridSpan w:val="2"/>
            <w:shd w:val="clear" w:color="auto" w:fill="D2EAF1"/>
          </w:tcPr>
          <w:p w14:paraId="0CEAC745" w14:textId="77777777"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lastRenderedPageBreak/>
              <w:t xml:space="preserve">2.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</w:p>
          <w:p w14:paraId="25EB49DB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постижу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4E7D1B58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одговор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14:paraId="308ECF12" w14:textId="77777777" w:rsidR="00EF1D5B" w:rsidRPr="00A875F3" w:rsidRDefault="00EF1D5B" w:rsidP="000F05E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143C2096" w14:textId="77777777" w:rsidTr="000F05ED">
        <w:tc>
          <w:tcPr>
            <w:tcW w:w="9576" w:type="dxa"/>
            <w:gridSpan w:val="2"/>
          </w:tcPr>
          <w:p w14:paraId="39BCD49E" w14:textId="18072D1D" w:rsidR="00EF1D5B" w:rsidRPr="00DF32CE" w:rsidRDefault="00EF1D5B" w:rsidP="00B354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    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постижу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сљедећи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квалитетно,, правовремено и ефикасно праће</w:t>
            </w:r>
            <w:r w:rsidR="001A6E4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 w:rsid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 локалне омладинске политике од стране Секретаријата за културу, спорт, младе и социјално старање, континуиран рад на побо</w:t>
            </w:r>
            <w:r w:rsidR="001A6E4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 w:rsid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шању услова живота у Никшићу и координисан рад са младима и за младе.</w:t>
            </w:r>
          </w:p>
          <w:p w14:paraId="314FD007" w14:textId="77777777" w:rsidR="00F35992" w:rsidRDefault="00DF32CE" w:rsidP="00E93D03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Такође, постижу се оперативни циљеви дефинисани Стратегијом за младе 2023-2027 која дефинише и родну равноправност као хоризонталну тему</w:t>
            </w:r>
            <w:r w:rsidR="00E93D0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. </w:t>
            </w:r>
          </w:p>
          <w:p w14:paraId="71F496D2" w14:textId="6D1AD52B" w:rsidR="00E93D03" w:rsidRDefault="00E93D03" w:rsidP="00E93D03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Све мјере и активности ук</w:t>
            </w:r>
            <w:r w:rsidR="001A6E4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учују младе жен</w:t>
            </w:r>
            <w:r w:rsidR="00F359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е, а сви циљеви су усмјерени и на унапређење родне равноправности.</w:t>
            </w:r>
          </w:p>
          <w:p w14:paraId="4EDD20B2" w14:textId="3920A3BF" w:rsidR="00EF1D5B" w:rsidRPr="00A875F3" w:rsidRDefault="00E93D03" w:rsidP="008C4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        </w:t>
            </w:r>
          </w:p>
        </w:tc>
      </w:tr>
      <w:tr w:rsidR="00EF1D5B" w:rsidRPr="005756F1" w14:paraId="75EB2EDC" w14:textId="77777777" w:rsidTr="000F05ED">
        <w:tc>
          <w:tcPr>
            <w:tcW w:w="9576" w:type="dxa"/>
            <w:gridSpan w:val="2"/>
            <w:shd w:val="clear" w:color="auto" w:fill="D2EAF1"/>
          </w:tcPr>
          <w:p w14:paraId="61BADEC0" w14:textId="77777777"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3.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</w:p>
          <w:p w14:paraId="644E9ED6" w14:textId="77777777" w:rsidR="00DF32CE" w:rsidRDefault="005756F1" w:rsidP="00DF32C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Зашто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</w:p>
          <w:p w14:paraId="590057CC" w14:textId="1ECAC75B" w:rsidR="00EF1D5B" w:rsidRPr="00DF32CE" w:rsidRDefault="00EF1D5B" w:rsidP="00DF32C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могуће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испуњавање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увијек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треба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разматрати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“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уо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препоручљиво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укључити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нерегулаторну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осим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предложеног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Pr="00DF32CE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14:paraId="7D350419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преферирану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преферирана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</w:tc>
      </w:tr>
      <w:tr w:rsidR="00EF1D5B" w:rsidRPr="005756F1" w14:paraId="7A1CF04E" w14:textId="77777777" w:rsidTr="000F05ED">
        <w:tc>
          <w:tcPr>
            <w:tcW w:w="9576" w:type="dxa"/>
            <w:gridSpan w:val="2"/>
          </w:tcPr>
          <w:p w14:paraId="5A71B0D2" w14:textId="77777777" w:rsidR="003C4D88" w:rsidRPr="00A875F3" w:rsidRDefault="003C4D88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56994EB7" w14:textId="29B96124" w:rsidR="00EF1D5B" w:rsidRDefault="005756F1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овом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22322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акционог плана за младе сходно Закону о младима 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="00DA0F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„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</w:t>
            </w:r>
            <w:r w:rsidR="00DA0F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ужбени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</w:t>
            </w:r>
            <w:r w:rsidR="00DA0F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 xml:space="preserve">рне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</w:t>
            </w:r>
            <w:r w:rsidR="00DA0F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RS"/>
              </w:rPr>
              <w:t>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”, </w:t>
            </w:r>
            <w:r w:rsidR="00223223" w:rsidRPr="0022322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број br. 25/19 и 27/19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  <w:r w:rsidR="0022322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</w:p>
          <w:p w14:paraId="47D05A93" w14:textId="325969F7" w:rsidR="00223223" w:rsidRPr="005E5037" w:rsidRDefault="005E5037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Локални акциони план за младе за 2024. годину доноси се у складу са Стратегијом за младе Црне Горе 2023-2027 и пратећим Акционим планом за 2023-2024 и прати њихова четири оперативна циља.</w:t>
            </w:r>
          </w:p>
          <w:p w14:paraId="4F849FE2" w14:textId="4EAAEBB4" w:rsidR="005E5037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константна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ефективна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комуникација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субјеката омладинске политике као и између институција, локалне самоуправе и младих;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ефикасн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правовремено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квалитетн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о креирање и спровођење омладинске политике;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E503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за младе.</w:t>
            </w:r>
          </w:p>
          <w:p w14:paraId="477848D7" w14:textId="34660546" w:rsidR="00B61692" w:rsidRPr="00B61692" w:rsidRDefault="005756F1" w:rsidP="00B61692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сваком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сегменту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B616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креирања и имплементације мјера и активности,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непосредно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посредно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дјеловати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B616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унапређење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B616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омладинске политике. Хоризонтална тема Стратегије за младе 2023-2027 јесте родна равноправност, а индикатори успјешности у Локалном акционом плану за младе су родно дефинисани. Такође, поједине планиране активности диреткно третирају питање родне равноправности.</w:t>
            </w:r>
          </w:p>
          <w:p w14:paraId="53D0536A" w14:textId="77777777" w:rsidR="00EF1D5B" w:rsidRPr="00A875F3" w:rsidRDefault="00EF1D5B" w:rsidP="003C4D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6A179150" w14:textId="77777777" w:rsidTr="000F05ED">
        <w:tc>
          <w:tcPr>
            <w:tcW w:w="9576" w:type="dxa"/>
            <w:gridSpan w:val="2"/>
            <w:shd w:val="clear" w:color="auto" w:fill="D2EAF1"/>
          </w:tcPr>
          <w:p w14:paraId="433BE8A1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4.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Анализа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утицаја</w:t>
            </w:r>
          </w:p>
          <w:p w14:paraId="6C5851E9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највјероватније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-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набројати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негативне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негативне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14:paraId="134B474A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привреди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нарочито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малим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средњим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предузећима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)?</w:t>
            </w:r>
          </w:p>
          <w:p w14:paraId="49FAAE3C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посљедице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оправдавају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створити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30FB1129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подржава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стварање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нових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привредних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конкуренција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2ACE11CF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процјену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административних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оптерећења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бизнис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баријера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14:paraId="3E8E09B7" w14:textId="77777777" w:rsidR="00EF1D5B" w:rsidRPr="00A875F3" w:rsidRDefault="00EF1D5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5968669A" w14:textId="77777777" w:rsidTr="000F05ED">
        <w:tc>
          <w:tcPr>
            <w:tcW w:w="9576" w:type="dxa"/>
            <w:gridSpan w:val="2"/>
          </w:tcPr>
          <w:p w14:paraId="252E901E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668FA91D" w14:textId="77777777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303F3708" w14:textId="77777777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1B8B1916" w14:textId="77777777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4B6DCEFE" w14:textId="77777777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0A9867AE" w14:textId="77777777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6A184A4E" w14:textId="3970B2FB" w:rsidR="004A15E1" w:rsidRDefault="004A15E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Локални акциони план за младе  највише ће утицати на младе у Никшићу, како кроз реализацију активности од стране институција</w:t>
            </w:r>
            <w:r w:rsidR="00F359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невладиних организација, образовних установа тако и кроз ук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учива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 младих у све друштвене токове и реализацију мјера и активности дефинисаних у документу. Индиректно ће план утицати на ширу заједницу јер је основни ци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доноше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 плана управо побо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ша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њ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 услова живота у Никшићу.</w:t>
            </w:r>
            <w:r w:rsidR="004C502D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Рјешења у пропису директно утичу и на положај жена.</w:t>
            </w:r>
          </w:p>
          <w:p w14:paraId="065B9183" w14:textId="2A68A6C9" w:rsidR="00EF1D5B" w:rsidRPr="00A875F3" w:rsidRDefault="00C12BE0" w:rsidP="004C5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     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Такође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институције и организације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омладинском политиком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F3599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због 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стратешког и ситематизованог приступа креирању и имплементацији омладинске политике.</w:t>
            </w:r>
          </w:p>
          <w:p w14:paraId="2125AE24" w14:textId="3D965E4A" w:rsidR="00C12BE0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изазива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уштеде</w:t>
            </w:r>
            <w:r w:rsidR="00C12BE0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грађанима и привреди.</w:t>
            </w:r>
          </w:p>
          <w:p w14:paraId="4CAC1419" w14:textId="65FBB770" w:rsidR="00C12BE0" w:rsidRPr="00C12BE0" w:rsidRDefault="00C12BE0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Овим прописом се не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подржава стварање нових привредних субјеката на тржишту и тржишна конкуренција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али се дио активности односи на јачање компетенција младих и њихово укључивање у активне политике запошљавања.</w:t>
            </w:r>
            <w:r w:rsidR="00924D6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</w:t>
            </w:r>
          </w:p>
          <w:p w14:paraId="0C1E582B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03291071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0B00E6C4" w14:textId="77777777" w:rsidTr="000F05ED">
        <w:tc>
          <w:tcPr>
            <w:tcW w:w="9576" w:type="dxa"/>
            <w:gridSpan w:val="2"/>
            <w:shd w:val="clear" w:color="auto" w:fill="D2EAF1"/>
          </w:tcPr>
          <w:p w14:paraId="15350F4D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lastRenderedPageBreak/>
              <w:t xml:space="preserve">5.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Процјена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фискалног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утицаја</w:t>
            </w:r>
          </w:p>
          <w:p w14:paraId="2F98A908" w14:textId="77777777"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0E996A41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висину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2E8E0AFE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износу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1A4881C6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једнократно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одређеног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временског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периода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14:paraId="6AA7580D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обезбијеђена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текућу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наредну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30E9E3BC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остварити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17D26430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проценту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неравноправности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мушкараца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14:paraId="7D5A4473" w14:textId="77777777" w:rsidR="00EF1D5B" w:rsidRPr="00A875F3" w:rsidRDefault="00EF1D5B" w:rsidP="005B7420">
            <w:pPr>
              <w:pStyle w:val="ListParagraph"/>
              <w:ind w:left="63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42BE1026" w14:textId="77777777" w:rsidTr="000F05ED">
        <w:tc>
          <w:tcPr>
            <w:tcW w:w="9576" w:type="dxa"/>
            <w:gridSpan w:val="2"/>
          </w:tcPr>
          <w:p w14:paraId="3CA1B1C3" w14:textId="77777777" w:rsidR="003C4D88" w:rsidRPr="00A875F3" w:rsidRDefault="003C4D88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222D6766" w14:textId="042DDF89" w:rsidR="00EF1D5B" w:rsidRPr="00C11751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Локални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акциони план за младе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за</w:t>
            </w:r>
            <w:r w:rsidR="00C03D3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202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4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.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годину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не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утиче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на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висину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прихода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локалне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самоуправе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. Што се тиче трошкова, Буџетом Општине Никшић планирана су средства за реализацију циљева локалног акционог плана за младе.</w:t>
            </w:r>
          </w:p>
          <w:p w14:paraId="42E47A90" w14:textId="07AD0C43" w:rsidR="00EF1D5B" w:rsidRPr="00C11751" w:rsidRDefault="00EF1D5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Обезбјеђе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на су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финансијск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а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средстава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из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буџета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локалне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самоуправ</w:t>
            </w:r>
            <w:r w:rsidR="00C1175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е, док се дио средстава може обезбиједити и путем финансирања од стране националних или међународних донатора.</w:t>
            </w:r>
          </w:p>
          <w:p w14:paraId="523EBD3B" w14:textId="39F9A28A" w:rsidR="00EF1D5B" w:rsidRPr="00050721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Буџетом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Општине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Никшић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за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202</w:t>
            </w:r>
            <w:r w:rsidR="0038078B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4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.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годину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обезбијеђена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финансијска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средства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за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имплементацију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Локалног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38078B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ационог плана за младе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за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202</w:t>
            </w:r>
            <w:r w:rsidR="0038078B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4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.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годину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,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односно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имплементацију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планираних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активности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проје</w:t>
            </w:r>
            <w:r w:rsidR="0038078B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ката (кроз више ставки).</w:t>
            </w:r>
            <w:r w:rsidR="00214EAA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 xml:space="preserve"> Такође, средства су планирана и за 2023. годину.</w:t>
            </w:r>
          </w:p>
          <w:p w14:paraId="673A0C17" w14:textId="77777777" w:rsidR="0038078B" w:rsidRDefault="0038078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Имплементацијом прописа се не остварује приход за локалну самоуправу.</w:t>
            </w:r>
          </w:p>
          <w:p w14:paraId="275F521B" w14:textId="78697F90" w:rsidR="0038078B" w:rsidRPr="0038078B" w:rsidRDefault="0038078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Потенцијални корисници буџета за имплементацију Локалног акционог плана за младе су млади, образовне установе, институције, невладине организације.</w:t>
            </w:r>
          </w:p>
          <w:p w14:paraId="105514C3" w14:textId="204B8EC3" w:rsidR="00EF1D5B" w:rsidRPr="0038078B" w:rsidRDefault="0038078B" w:rsidP="0038078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Имплементација буџета не може бити узрок неравноправности између мушкараца и жена јер ће се у реализацију равноправно укључивати и мушкарци и жене.</w:t>
            </w:r>
          </w:p>
          <w:p w14:paraId="2B0A3C75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14:paraId="1E29EA9E" w14:textId="77777777" w:rsidTr="000F05ED">
        <w:tc>
          <w:tcPr>
            <w:tcW w:w="9576" w:type="dxa"/>
            <w:gridSpan w:val="2"/>
            <w:shd w:val="clear" w:color="auto" w:fill="D2EAF1"/>
          </w:tcPr>
          <w:p w14:paraId="107E4BC3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6.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заинтересованих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</w:p>
          <w:p w14:paraId="582D3607" w14:textId="77777777"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597EA19A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екстерна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експертска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подршка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14:paraId="6A0A82D6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заинтересованих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консултоване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фази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процеса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јавне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14:paraId="304A292E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представнице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удружења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рањивих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281A9098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главне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резултате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сугестије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lastRenderedPageBreak/>
              <w:t>заинтересованих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прихваћени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прихваћени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</w:tc>
      </w:tr>
      <w:tr w:rsidR="00EF1D5B" w:rsidRPr="005756F1" w14:paraId="7B6CD7A3" w14:textId="77777777" w:rsidTr="000F05ED">
        <w:tc>
          <w:tcPr>
            <w:tcW w:w="9576" w:type="dxa"/>
            <w:gridSpan w:val="2"/>
          </w:tcPr>
          <w:p w14:paraId="491A693E" w14:textId="77777777" w:rsidR="005B7420" w:rsidRDefault="005B7420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1544520F" w14:textId="77D9821C" w:rsidR="00EF1D5B" w:rsidRPr="00214EAA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Екстерна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експертска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подршка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приликом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израде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38078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акционог плана за 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C03D31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38078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сагласност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Министарств</w:t>
            </w:r>
            <w:r w:rsidR="0038078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 спорта и младих</w:t>
            </w:r>
            <w:r w:rsidR="00EF1D5B" w:rsidRPr="003E3E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,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38078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о усаглашености са 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Стратегијом за младе 2023-2027 и Акционим планом 2023-2024.</w:t>
            </w:r>
          </w:p>
          <w:p w14:paraId="790CB774" w14:textId="6F720050" w:rsidR="00EF1D5B" w:rsidRPr="00214EAA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поступку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припреме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акционог плана за 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C03D31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културу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извршио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представницима образовних установа, локалних институција, невладиним организацијама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начин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прикупљен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и предлози 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обрађени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конкретизовани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кроз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мјере и циљеве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Све активности које су прихваћене усклађене су са оперативним ци</w:t>
            </w:r>
            <w:r w:rsidR="009357EC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љ</w:t>
            </w:r>
            <w:r w:rsidR="00214EAA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евима Стратегије за младе</w:t>
            </w:r>
            <w:r w:rsidR="009357EC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и одражавају стварне потребе сходно коришћеном истраживању (УНДП).</w:t>
            </w:r>
          </w:p>
          <w:p w14:paraId="77E6CB35" w14:textId="066B4E0A" w:rsidR="00EF1D5B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Представници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рањивих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креирања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214EAA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плана (невладине организације које се баве питањиме родне равноправности, проблемима особа са инвалидитетом</w:t>
            </w:r>
            <w:r w:rsidR="009357EC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,</w:t>
            </w:r>
            <w:r w:rsidR="00214EAA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 xml:space="preserve"> припадника</w:t>
            </w:r>
            <w:r w:rsidR="00F35992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 xml:space="preserve"> РЕ</w:t>
            </w:r>
            <w:r w:rsidR="00214EAA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 xml:space="preserve"> популације). Исти ће бити укључени и у реализацију плана. </w:t>
            </w:r>
          </w:p>
          <w:p w14:paraId="0778E0AB" w14:textId="5A7263C0" w:rsidR="00050721" w:rsidRPr="00924D63" w:rsidRDefault="009357EC" w:rsidP="009357EC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Током Јавне расправе п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редлога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сугестија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за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израду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 w:rsidR="005756F1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>Локалног</w:t>
            </w:r>
            <w:r w:rsidR="00EF1D5B" w:rsidRPr="00050721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 xml:space="preserve">акционог плана за младе за 2024. </w:t>
            </w:r>
            <w:r w:rsidR="00F35992">
              <w:rPr>
                <w:rFonts w:ascii="Arial" w:hAnsi="Arial" w:cs="Arial"/>
                <w:b/>
                <w:bCs w:val="0"/>
                <w:color w:val="17365D" w:themeColor="text2" w:themeShade="BF"/>
                <w:sz w:val="20"/>
                <w:szCs w:val="20"/>
                <w:lang w:val="sr-Cyrl-ME"/>
              </w:rPr>
              <w:t>годину није било.</w:t>
            </w:r>
          </w:p>
          <w:p w14:paraId="434FADAD" w14:textId="77777777" w:rsidR="00050721" w:rsidRDefault="0005072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  <w:p w14:paraId="62C6B078" w14:textId="77777777" w:rsidR="00050721" w:rsidRPr="00050721" w:rsidRDefault="0005072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</w:tc>
      </w:tr>
      <w:tr w:rsidR="00EF1D5B" w:rsidRPr="005756F1" w14:paraId="7BDABCFC" w14:textId="77777777" w:rsidTr="000F05ED">
        <w:tc>
          <w:tcPr>
            <w:tcW w:w="9576" w:type="dxa"/>
            <w:gridSpan w:val="2"/>
            <w:shd w:val="clear" w:color="auto" w:fill="D2EAF1"/>
          </w:tcPr>
          <w:p w14:paraId="19998593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7.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евалуација</w:t>
            </w:r>
          </w:p>
          <w:p w14:paraId="31A60789" w14:textId="77777777"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497BCFE9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препреке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</w:p>
          <w:p w14:paraId="2DE3FFE0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главни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индикатори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14:paraId="1EDC133D" w14:textId="77777777"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задужен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спровођење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</w:tc>
      </w:tr>
      <w:tr w:rsidR="00EF1D5B" w:rsidRPr="005756F1" w14:paraId="7CDD4177" w14:textId="77777777" w:rsidTr="000F05ED">
        <w:tc>
          <w:tcPr>
            <w:tcW w:w="9576" w:type="dxa"/>
            <w:gridSpan w:val="2"/>
          </w:tcPr>
          <w:p w14:paraId="119107BC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3DCE5444" w14:textId="688A2D88" w:rsidR="001F2927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</w:t>
            </w:r>
            <w:r w:rsidR="001F292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препрек</w:t>
            </w:r>
            <w:r w:rsidR="001F292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F292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акционог плана за младе за 2024.годину може представљати немотивисаност и низак степен укључености релевантних актера у имплементацију активности, као и недостатак средстава.</w:t>
            </w:r>
          </w:p>
          <w:p w14:paraId="108A8D2D" w14:textId="77777777" w:rsidR="001F2927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испунили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остваривати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сарадња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релевантним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1F292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институцијама и организацијама 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вршиће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редовне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="001F292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     </w:t>
            </w:r>
          </w:p>
          <w:p w14:paraId="404D3AA5" w14:textId="63AF80A9" w:rsidR="00C11112" w:rsidRDefault="00C11112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За сваку појединачну активност која је планирана дефинисани су и индикатори а на основу њих мјериће се и испуњење циљева. Ови индикатори дати су у самом пропису и биће праћени током имплемнтације Плана.</w:t>
            </w:r>
          </w:p>
          <w:p w14:paraId="1CAB04A8" w14:textId="075854B1" w:rsidR="00EF1D5B" w:rsidRPr="00C11112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спровођење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C1111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акционог плана за младе за 2024.годину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задужен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културу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  <w:r w:rsidR="00C1111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Сходно Закону о младима, сачиниће се Извјештај о реализацији ЛАП за 2024. годину и доставити Министарству спорта и младих до 15.фебруара 2025. године.</w:t>
            </w:r>
          </w:p>
          <w:p w14:paraId="67DE65F7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14:paraId="59FA92C4" w14:textId="77777777"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</w:tbl>
    <w:p w14:paraId="4F257162" w14:textId="77777777" w:rsidR="00EF1D5B" w:rsidRPr="005756F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14:paraId="6A7B9FE1" w14:textId="77777777" w:rsidR="00EF1D5B" w:rsidRDefault="00EF1D5B">
      <w:pPr>
        <w:rPr>
          <w:rFonts w:ascii="Arial" w:hAnsi="Arial" w:cs="Arial"/>
          <w:b/>
          <w:noProof/>
          <w:lang w:val="sr-Cyrl-CS"/>
        </w:rPr>
      </w:pPr>
    </w:p>
    <w:p w14:paraId="23B16E6E" w14:textId="77777777" w:rsidR="00A25B34" w:rsidRPr="005756F1" w:rsidRDefault="00A25B34">
      <w:pPr>
        <w:rPr>
          <w:rFonts w:ascii="Arial" w:hAnsi="Arial" w:cs="Arial"/>
          <w:b/>
          <w:noProof/>
          <w:lang w:val="sr-Cyrl-CS"/>
        </w:rPr>
      </w:pPr>
    </w:p>
    <w:p w14:paraId="68E636D1" w14:textId="77777777" w:rsidR="00EF1D5B" w:rsidRPr="007713F0" w:rsidRDefault="001F1799">
      <w:pPr>
        <w:rPr>
          <w:rFonts w:ascii="Arial" w:hAnsi="Arial" w:cs="Arial"/>
          <w:b/>
          <w:color w:val="17365D"/>
          <w:lang w:val="sr-Cyrl-RS"/>
        </w:rPr>
      </w:pPr>
      <w:proofErr w:type="spellStart"/>
      <w:r w:rsidRPr="00A875F3">
        <w:rPr>
          <w:rFonts w:ascii="Arial" w:hAnsi="Arial" w:cs="Arial"/>
          <w:b/>
          <w:color w:val="17365D"/>
        </w:rPr>
        <w:t>Датум</w:t>
      </w:r>
      <w:proofErr w:type="spellEnd"/>
      <w:r w:rsidRPr="00A875F3">
        <w:rPr>
          <w:rFonts w:ascii="Arial" w:hAnsi="Arial" w:cs="Arial"/>
          <w:b/>
          <w:color w:val="17365D"/>
        </w:rPr>
        <w:t xml:space="preserve"> и </w:t>
      </w:r>
      <w:proofErr w:type="spellStart"/>
      <w:r w:rsidRPr="00A875F3">
        <w:rPr>
          <w:rFonts w:ascii="Arial" w:hAnsi="Arial" w:cs="Arial"/>
          <w:b/>
          <w:color w:val="17365D"/>
        </w:rPr>
        <w:t>мјесто</w:t>
      </w:r>
      <w:proofErr w:type="spellEnd"/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  <w:t xml:space="preserve">   </w:t>
      </w:r>
      <w:r w:rsidRPr="00A875F3">
        <w:rPr>
          <w:rFonts w:ascii="Arial" w:hAnsi="Arial" w:cs="Arial"/>
          <w:b/>
          <w:color w:val="17365D"/>
        </w:rPr>
        <w:t xml:space="preserve">  </w:t>
      </w:r>
      <w:r w:rsidR="00EF1D5B" w:rsidRPr="00A875F3">
        <w:rPr>
          <w:rFonts w:ascii="Arial" w:hAnsi="Arial" w:cs="Arial"/>
          <w:b/>
          <w:color w:val="17365D"/>
        </w:rPr>
        <w:t xml:space="preserve">  </w:t>
      </w:r>
      <w:r w:rsidR="007713F0">
        <w:rPr>
          <w:rFonts w:ascii="Arial" w:hAnsi="Arial" w:cs="Arial"/>
          <w:b/>
          <w:color w:val="17365D"/>
        </w:rPr>
        <w:tab/>
      </w:r>
      <w:r w:rsidR="007713F0">
        <w:rPr>
          <w:rFonts w:ascii="Arial" w:hAnsi="Arial" w:cs="Arial"/>
          <w:b/>
          <w:color w:val="17365D"/>
          <w:lang w:val="sr-Cyrl-RS"/>
        </w:rPr>
        <w:t xml:space="preserve"> СТАРЈЕШИНА</w:t>
      </w:r>
    </w:p>
    <w:p w14:paraId="62D1ED5B" w14:textId="77777777" w:rsidR="00EF1D5B" w:rsidRPr="005756F1" w:rsidRDefault="00EF1D5B">
      <w:pPr>
        <w:rPr>
          <w:rFonts w:ascii="Arial" w:hAnsi="Arial" w:cs="Arial"/>
          <w:noProof/>
          <w:lang w:val="sr-Cyrl-CS"/>
        </w:rPr>
      </w:pPr>
    </w:p>
    <w:p w14:paraId="2A8B9872" w14:textId="3673788C" w:rsidR="00EF1D5B" w:rsidRPr="005756F1" w:rsidRDefault="001F1799">
      <w:pPr>
        <w:rPr>
          <w:rFonts w:ascii="Arial" w:hAnsi="Arial" w:cs="Arial"/>
          <w:noProof/>
          <w:lang w:val="sr-Cyrl-CS"/>
        </w:rPr>
      </w:pPr>
      <w:proofErr w:type="spellStart"/>
      <w:r w:rsidRPr="00A875F3">
        <w:rPr>
          <w:rFonts w:ascii="Arial" w:hAnsi="Arial" w:cs="Arial"/>
          <w:color w:val="17365D"/>
        </w:rPr>
        <w:t>Никшић</w:t>
      </w:r>
      <w:proofErr w:type="spellEnd"/>
      <w:r w:rsidR="00EF1D5B" w:rsidRPr="00A875F3">
        <w:rPr>
          <w:rFonts w:ascii="Arial" w:hAnsi="Arial" w:cs="Arial"/>
          <w:color w:val="17365D"/>
        </w:rPr>
        <w:t xml:space="preserve">, </w:t>
      </w:r>
      <w:r w:rsidR="00857904">
        <w:rPr>
          <w:rFonts w:ascii="Arial" w:hAnsi="Arial" w:cs="Arial"/>
          <w:color w:val="17365D"/>
          <w:lang w:val="sr-Cyrl-ME"/>
        </w:rPr>
        <w:t>15.децембар 2023. године</w:t>
      </w:r>
      <w:r w:rsidR="001F2927">
        <w:rPr>
          <w:rFonts w:ascii="Arial" w:hAnsi="Arial" w:cs="Arial"/>
          <w:color w:val="17365D"/>
          <w:lang w:val="sr-Cyrl-ME"/>
        </w:rPr>
        <w:t xml:space="preserve">                  </w:t>
      </w:r>
      <w:r w:rsidR="00EF1D5B" w:rsidRPr="00A875F3">
        <w:rPr>
          <w:rFonts w:ascii="Arial" w:hAnsi="Arial" w:cs="Arial"/>
          <w:color w:val="17365D"/>
        </w:rPr>
        <w:t>.</w:t>
      </w:r>
      <w:r w:rsidR="00857904">
        <w:rPr>
          <w:rFonts w:ascii="Arial" w:hAnsi="Arial" w:cs="Arial"/>
          <w:color w:val="17365D"/>
          <w:lang w:val="sr-Cyrl-ME"/>
        </w:rPr>
        <w:t xml:space="preserve">                 </w:t>
      </w:r>
      <w:r w:rsidR="007713F0">
        <w:rPr>
          <w:rFonts w:ascii="Arial" w:hAnsi="Arial" w:cs="Arial"/>
          <w:color w:val="17365D"/>
          <w:lang w:val="sr-Cyrl-ME"/>
        </w:rPr>
        <w:t>Д</w:t>
      </w:r>
      <w:r w:rsidR="007713F0">
        <w:rPr>
          <w:rFonts w:ascii="Arial" w:hAnsi="Arial" w:cs="Arial"/>
          <w:color w:val="17365D"/>
          <w:lang w:val="sr-Cyrl-RS"/>
        </w:rPr>
        <w:t>ејан Иванови</w:t>
      </w:r>
      <w:r w:rsidR="00857904">
        <w:rPr>
          <w:rFonts w:ascii="Arial" w:hAnsi="Arial" w:cs="Arial"/>
          <w:color w:val="17365D"/>
          <w:lang w:val="sr-Cyrl-RS"/>
        </w:rPr>
        <w:t>ћ</w:t>
      </w:r>
      <w:r w:rsidR="004A5E43">
        <w:rPr>
          <w:rFonts w:ascii="Arial" w:hAnsi="Arial" w:cs="Arial"/>
          <w:color w:val="17365D"/>
          <w:lang w:val="sr-Cyrl-RS"/>
        </w:rPr>
        <w:t>, с.р.</w:t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</w:p>
    <w:p w14:paraId="486425D4" w14:textId="77777777" w:rsidR="00EF1D5B" w:rsidRPr="005756F1" w:rsidRDefault="00EF1D5B">
      <w:pPr>
        <w:rPr>
          <w:rFonts w:ascii="Arial" w:hAnsi="Arial" w:cs="Arial"/>
          <w:noProof/>
          <w:lang w:val="sr-Cyrl-CS"/>
        </w:rPr>
      </w:pPr>
    </w:p>
    <w:sectPr w:rsidR="00EF1D5B" w:rsidRPr="005756F1" w:rsidSect="00322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1E21" w14:textId="77777777" w:rsidR="000C38CF" w:rsidRDefault="000C38CF" w:rsidP="00BA7396">
      <w:r>
        <w:separator/>
      </w:r>
    </w:p>
  </w:endnote>
  <w:endnote w:type="continuationSeparator" w:id="0">
    <w:p w14:paraId="3BF61866" w14:textId="77777777" w:rsidR="000C38CF" w:rsidRDefault="000C38C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D046" w14:textId="77777777" w:rsidR="005756F1" w:rsidRDefault="00575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225" w14:textId="77777777" w:rsidR="005756F1" w:rsidRDefault="00575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F242" w14:textId="77777777" w:rsidR="005756F1" w:rsidRDefault="0057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7686" w14:textId="77777777" w:rsidR="000C38CF" w:rsidRDefault="000C38CF" w:rsidP="00BA7396">
      <w:r>
        <w:separator/>
      </w:r>
    </w:p>
  </w:footnote>
  <w:footnote w:type="continuationSeparator" w:id="0">
    <w:p w14:paraId="509748CA" w14:textId="77777777" w:rsidR="000C38CF" w:rsidRDefault="000C38CF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2D4A" w14:textId="77777777" w:rsidR="005756F1" w:rsidRDefault="00575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6A4" w14:textId="77777777" w:rsidR="005756F1" w:rsidRDefault="00575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F3ED" w14:textId="77777777" w:rsidR="005756F1" w:rsidRDefault="0057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3473"/>
    <w:rsid w:val="00043CCD"/>
    <w:rsid w:val="00050721"/>
    <w:rsid w:val="000511F0"/>
    <w:rsid w:val="000562D6"/>
    <w:rsid w:val="000629D8"/>
    <w:rsid w:val="00067FCF"/>
    <w:rsid w:val="000716AC"/>
    <w:rsid w:val="00075306"/>
    <w:rsid w:val="000C38CF"/>
    <w:rsid w:val="000E5392"/>
    <w:rsid w:val="000E7E95"/>
    <w:rsid w:val="000E7FBD"/>
    <w:rsid w:val="000F05ED"/>
    <w:rsid w:val="00136E1D"/>
    <w:rsid w:val="00154647"/>
    <w:rsid w:val="00162BB1"/>
    <w:rsid w:val="001A6E4D"/>
    <w:rsid w:val="001C3BC4"/>
    <w:rsid w:val="001C7348"/>
    <w:rsid w:val="001D0BF0"/>
    <w:rsid w:val="001D26D2"/>
    <w:rsid w:val="001E1794"/>
    <w:rsid w:val="001E3E69"/>
    <w:rsid w:val="001F1799"/>
    <w:rsid w:val="001F2927"/>
    <w:rsid w:val="001F4328"/>
    <w:rsid w:val="001F74A2"/>
    <w:rsid w:val="002072BA"/>
    <w:rsid w:val="00214EAA"/>
    <w:rsid w:val="002226D5"/>
    <w:rsid w:val="00223223"/>
    <w:rsid w:val="002251D6"/>
    <w:rsid w:val="00235BF5"/>
    <w:rsid w:val="00241D12"/>
    <w:rsid w:val="00244B91"/>
    <w:rsid w:val="00267C7D"/>
    <w:rsid w:val="00267EE7"/>
    <w:rsid w:val="00282840"/>
    <w:rsid w:val="00284A91"/>
    <w:rsid w:val="00294662"/>
    <w:rsid w:val="00295023"/>
    <w:rsid w:val="002A6869"/>
    <w:rsid w:val="002D1A66"/>
    <w:rsid w:val="002E7569"/>
    <w:rsid w:val="00310915"/>
    <w:rsid w:val="00322389"/>
    <w:rsid w:val="00322DFF"/>
    <w:rsid w:val="00357476"/>
    <w:rsid w:val="00364F56"/>
    <w:rsid w:val="00365F7F"/>
    <w:rsid w:val="0038078B"/>
    <w:rsid w:val="003843F6"/>
    <w:rsid w:val="00392F99"/>
    <w:rsid w:val="00394567"/>
    <w:rsid w:val="00395587"/>
    <w:rsid w:val="003B5BF3"/>
    <w:rsid w:val="003C4D88"/>
    <w:rsid w:val="003E2C66"/>
    <w:rsid w:val="003E3E0B"/>
    <w:rsid w:val="003F334E"/>
    <w:rsid w:val="00461690"/>
    <w:rsid w:val="0047459A"/>
    <w:rsid w:val="00494A64"/>
    <w:rsid w:val="004A15E1"/>
    <w:rsid w:val="004A4396"/>
    <w:rsid w:val="004A5E43"/>
    <w:rsid w:val="004B549B"/>
    <w:rsid w:val="004C1FDC"/>
    <w:rsid w:val="004C502D"/>
    <w:rsid w:val="004E1351"/>
    <w:rsid w:val="004F4F9C"/>
    <w:rsid w:val="00504237"/>
    <w:rsid w:val="0054756C"/>
    <w:rsid w:val="005756F1"/>
    <w:rsid w:val="005805F3"/>
    <w:rsid w:val="005B7420"/>
    <w:rsid w:val="005C4266"/>
    <w:rsid w:val="005D43E5"/>
    <w:rsid w:val="005E5037"/>
    <w:rsid w:val="005F00B7"/>
    <w:rsid w:val="005F03ED"/>
    <w:rsid w:val="005F283F"/>
    <w:rsid w:val="005F6D49"/>
    <w:rsid w:val="00601210"/>
    <w:rsid w:val="006129CD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21692"/>
    <w:rsid w:val="00721DB9"/>
    <w:rsid w:val="00722885"/>
    <w:rsid w:val="00732071"/>
    <w:rsid w:val="00733149"/>
    <w:rsid w:val="00736E8D"/>
    <w:rsid w:val="00741A35"/>
    <w:rsid w:val="007546DB"/>
    <w:rsid w:val="00762C49"/>
    <w:rsid w:val="007713F0"/>
    <w:rsid w:val="007849D1"/>
    <w:rsid w:val="007A1C7D"/>
    <w:rsid w:val="007C12EB"/>
    <w:rsid w:val="007C585B"/>
    <w:rsid w:val="007D05DC"/>
    <w:rsid w:val="00806745"/>
    <w:rsid w:val="008169A7"/>
    <w:rsid w:val="008301C9"/>
    <w:rsid w:val="008322D4"/>
    <w:rsid w:val="00833765"/>
    <w:rsid w:val="0085327D"/>
    <w:rsid w:val="00857904"/>
    <w:rsid w:val="00867B03"/>
    <w:rsid w:val="00871235"/>
    <w:rsid w:val="008A2781"/>
    <w:rsid w:val="008B09E9"/>
    <w:rsid w:val="008C0535"/>
    <w:rsid w:val="008C4138"/>
    <w:rsid w:val="008C441E"/>
    <w:rsid w:val="008E4862"/>
    <w:rsid w:val="008E6C79"/>
    <w:rsid w:val="008F47BD"/>
    <w:rsid w:val="0091493A"/>
    <w:rsid w:val="00924D63"/>
    <w:rsid w:val="009355D1"/>
    <w:rsid w:val="009357EC"/>
    <w:rsid w:val="009535C3"/>
    <w:rsid w:val="00960A46"/>
    <w:rsid w:val="00972845"/>
    <w:rsid w:val="00973BEB"/>
    <w:rsid w:val="00981466"/>
    <w:rsid w:val="00984C72"/>
    <w:rsid w:val="009874EB"/>
    <w:rsid w:val="00987A86"/>
    <w:rsid w:val="0099547B"/>
    <w:rsid w:val="009E11A4"/>
    <w:rsid w:val="00A07773"/>
    <w:rsid w:val="00A25B34"/>
    <w:rsid w:val="00A265F9"/>
    <w:rsid w:val="00A34E9B"/>
    <w:rsid w:val="00A71595"/>
    <w:rsid w:val="00A875F3"/>
    <w:rsid w:val="00A94790"/>
    <w:rsid w:val="00AA117E"/>
    <w:rsid w:val="00AC6578"/>
    <w:rsid w:val="00AD100C"/>
    <w:rsid w:val="00AF06EA"/>
    <w:rsid w:val="00AF2885"/>
    <w:rsid w:val="00B147B8"/>
    <w:rsid w:val="00B1537D"/>
    <w:rsid w:val="00B2646E"/>
    <w:rsid w:val="00B3542B"/>
    <w:rsid w:val="00B40AA1"/>
    <w:rsid w:val="00B535B4"/>
    <w:rsid w:val="00B61692"/>
    <w:rsid w:val="00B7089B"/>
    <w:rsid w:val="00B90368"/>
    <w:rsid w:val="00BA7396"/>
    <w:rsid w:val="00BA7877"/>
    <w:rsid w:val="00BD4282"/>
    <w:rsid w:val="00BE11B9"/>
    <w:rsid w:val="00C03D31"/>
    <w:rsid w:val="00C11112"/>
    <w:rsid w:val="00C111D8"/>
    <w:rsid w:val="00C11751"/>
    <w:rsid w:val="00C12BE0"/>
    <w:rsid w:val="00C179F9"/>
    <w:rsid w:val="00C450DD"/>
    <w:rsid w:val="00C5148C"/>
    <w:rsid w:val="00C549B4"/>
    <w:rsid w:val="00C66A02"/>
    <w:rsid w:val="00C72668"/>
    <w:rsid w:val="00C75DF0"/>
    <w:rsid w:val="00C773E3"/>
    <w:rsid w:val="00C87DA2"/>
    <w:rsid w:val="00CB71B8"/>
    <w:rsid w:val="00CD7759"/>
    <w:rsid w:val="00D06D2A"/>
    <w:rsid w:val="00D1141F"/>
    <w:rsid w:val="00D13253"/>
    <w:rsid w:val="00D25692"/>
    <w:rsid w:val="00D2720B"/>
    <w:rsid w:val="00D27C82"/>
    <w:rsid w:val="00D36EDF"/>
    <w:rsid w:val="00D4308A"/>
    <w:rsid w:val="00D77412"/>
    <w:rsid w:val="00D87CB1"/>
    <w:rsid w:val="00DA0FAA"/>
    <w:rsid w:val="00DA645F"/>
    <w:rsid w:val="00DB1891"/>
    <w:rsid w:val="00DC5550"/>
    <w:rsid w:val="00DF32CE"/>
    <w:rsid w:val="00E3478E"/>
    <w:rsid w:val="00E61671"/>
    <w:rsid w:val="00E721E9"/>
    <w:rsid w:val="00E80201"/>
    <w:rsid w:val="00E93D03"/>
    <w:rsid w:val="00EA3400"/>
    <w:rsid w:val="00EC58BD"/>
    <w:rsid w:val="00ED0AF4"/>
    <w:rsid w:val="00ED0F74"/>
    <w:rsid w:val="00ED4766"/>
    <w:rsid w:val="00EF1D5B"/>
    <w:rsid w:val="00F14603"/>
    <w:rsid w:val="00F20105"/>
    <w:rsid w:val="00F35992"/>
    <w:rsid w:val="00F72683"/>
    <w:rsid w:val="00F7433F"/>
    <w:rsid w:val="00F76057"/>
    <w:rsid w:val="00F829CD"/>
    <w:rsid w:val="00FA6472"/>
    <w:rsid w:val="00FA76B0"/>
    <w:rsid w:val="00FB1B5F"/>
    <w:rsid w:val="00FB5EE2"/>
    <w:rsid w:val="00FB6BD5"/>
    <w:rsid w:val="00FB7CBA"/>
    <w:rsid w:val="00FC2A13"/>
    <w:rsid w:val="00FE033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FDB0"/>
  <w15:docId w15:val="{59C96D3D-F778-4E50-89EF-04F8C2B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8A41-604A-4279-9AE0-9C691E41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Maja Radoičić</cp:lastModifiedBy>
  <cp:revision>43</cp:revision>
  <cp:lastPrinted>2023-12-15T08:10:00Z</cp:lastPrinted>
  <dcterms:created xsi:type="dcterms:W3CDTF">2022-03-03T13:07:00Z</dcterms:created>
  <dcterms:modified xsi:type="dcterms:W3CDTF">2023-12-15T08:12:00Z</dcterms:modified>
</cp:coreProperties>
</file>