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5B" w:rsidRPr="00612E49" w:rsidRDefault="005756F1" w:rsidP="00612E49">
      <w:pPr>
        <w:autoSpaceDE w:val="0"/>
        <w:autoSpaceDN w:val="0"/>
        <w:adjustRightInd w:val="0"/>
        <w:jc w:val="right"/>
        <w:rPr>
          <w:rFonts w:ascii="Arial" w:hAnsi="Arial" w:cs="Arial"/>
          <w:b/>
          <w:bCs w:val="0"/>
          <w:color w:val="17365D"/>
          <w:szCs w:val="24"/>
          <w:lang w:val="pl-PL"/>
        </w:rPr>
      </w:pPr>
      <w:r w:rsidRPr="00A875F3">
        <w:rPr>
          <w:rFonts w:ascii="Arial" w:hAnsi="Arial" w:cs="Arial"/>
          <w:b/>
          <w:bCs w:val="0"/>
          <w:color w:val="17365D"/>
          <w:szCs w:val="24"/>
          <w:lang w:val="pl-PL"/>
        </w:rPr>
        <w:t>ОБРАЗАЦ</w:t>
      </w:r>
    </w:p>
    <w:p w:rsidR="00EF1D5B" w:rsidRPr="005756F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EF1D5B" w:rsidRPr="005756F1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EF1D5B" w:rsidRPr="00A875F3" w:rsidRDefault="005756F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ИЗВЈЕШТАЈ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АНАЛИЗИ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УТИЦАЈА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2"/>
                <w:szCs w:val="24"/>
                <w:lang w:val="pl-PL"/>
              </w:rPr>
              <w:t>САМОУПРАВЕ</w:t>
            </w:r>
          </w:p>
        </w:tc>
      </w:tr>
      <w:tr w:rsidR="00EF1D5B" w:rsidRPr="005756F1" w:rsidTr="000F05ED">
        <w:tc>
          <w:tcPr>
            <w:tcW w:w="3978" w:type="dxa"/>
            <w:shd w:val="clear" w:color="auto" w:fill="D2EAF1"/>
          </w:tcPr>
          <w:p w:rsidR="00EF1D5B" w:rsidRPr="00A875F3" w:rsidRDefault="00FB2CB4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ОБРАЂИВАЧ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>ПРОПИСА</w:t>
            </w:r>
          </w:p>
        </w:tc>
        <w:tc>
          <w:tcPr>
            <w:tcW w:w="5598" w:type="dxa"/>
            <w:shd w:val="clear" w:color="auto" w:fill="D2EAF1"/>
          </w:tcPr>
          <w:p w:rsidR="00EF1D5B" w:rsidRPr="005756F1" w:rsidRDefault="005756F1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културу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старање</w:t>
            </w:r>
          </w:p>
        </w:tc>
      </w:tr>
      <w:tr w:rsidR="00EF1D5B" w:rsidRPr="005756F1" w:rsidTr="000F05ED">
        <w:tc>
          <w:tcPr>
            <w:tcW w:w="3978" w:type="dxa"/>
          </w:tcPr>
          <w:p w:rsidR="00EF1D5B" w:rsidRPr="00A875F3" w:rsidRDefault="005756F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>НАЗИВ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</w:rPr>
              <w:t>ПРОПИСА</w:t>
            </w:r>
          </w:p>
        </w:tc>
        <w:tc>
          <w:tcPr>
            <w:tcW w:w="5598" w:type="dxa"/>
          </w:tcPr>
          <w:p w:rsidR="00EF1D5B" w:rsidRPr="00A875F3" w:rsidRDefault="005756F1" w:rsidP="005D43E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63584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1.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Дефинисање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</w:t>
            </w:r>
            <w:r w:rsidR="003C4D88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едица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захтјева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државном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Навести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основ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стратешким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документима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одступати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одредби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државном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ријеч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сопственим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надлежностима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пренесеном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повјереном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послу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ријеши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посебни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узроци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</w:t>
            </w:r>
            <w:r w:rsidR="00DA645F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едице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субјекти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оштећени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начин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-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</w:t>
            </w:r>
          </w:p>
          <w:p w:rsidR="00EF1D5B" w:rsidRPr="00A875F3" w:rsidRDefault="005756F1" w:rsidP="00984C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еволуирао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без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="00984C72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u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)?</w:t>
            </w: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EF1D5B" w:rsidRPr="00A875F3" w:rsidRDefault="005756F1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основ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63584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35/2013),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Национални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2017-2020.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Национална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стратегија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период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2011-2020.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одступити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одредби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државном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ближе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одредити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Међутим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одступањима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подразумијевамо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реакције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хитним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ситуацијама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питања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хитном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поступку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). 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Ријеч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сопственим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надлежностима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вођењу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акцентом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најугроженијих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тежи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питања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проблематику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Никшић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питања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постојеће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ситуације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власништву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Никшић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дефинисања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области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63584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Конкретно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посматрано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питања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укњижбом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катастар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закупом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одржавањем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63584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стамбених 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питања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ријешити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различитих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пројектних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посебан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аспекта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приоритетних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самохране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мајке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жртве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насиља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припадају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приоритетној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Узроци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635846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незаконито коришћење општинских стамбених јединица, као и немогућност адекватне ревизије станарских права због одређених </w:t>
            </w:r>
            <w:r w:rsidR="00AE16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„дисбаланса“ између законских одредби и ситуације у пракси, док су узроци, који су у претходним РИА обрасцима дефинисани као узроци: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неефикасна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укњижба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уназад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неадекватна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евентуална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кашњења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AE16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 значајно смањени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Посљедице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="00AE16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отежане контроле (не)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законско</w:t>
            </w:r>
            <w:r w:rsidR="00AE16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коришћењ</w:t>
            </w:r>
            <w:r w:rsidR="00AE16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AE160B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отежане контроле (не)плаћања закупнине за стан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 тешкоће у покретању и реализацији поступака за исељавање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Субјекти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оштећени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уколико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врши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контрола 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lastRenderedPageBreak/>
              <w:t>(не)з</w:t>
            </w:r>
            <w:r w:rsidR="00825AEF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аконско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г</w:t>
            </w:r>
            <w:r w:rsidR="00825AEF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коришћењ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</w:t>
            </w:r>
            <w:r w:rsidR="00825AEF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стамбених јединица, 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не спроводи редовна контрола (не)плаћања закупнине за стан, не покрећу поступци за исељење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врши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благовремена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садашњих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општинском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власништву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касни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угрожене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домаћинства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тржишту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ријешити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Pr="00A875F3" w:rsidRDefault="005756F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случају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евалуирали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погледу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немогућности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извршавања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обавеза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,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немогућности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угрожених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а све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због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отежане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и реализације </w:t>
            </w:r>
            <w:r w:rsidR="00825AEF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„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акција“ у случајевима незаконског коришћења стамбених јединица, што за последицу 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временски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дис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континуитет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праћењу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цјелокупне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проблематике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EF1D5B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EF1D5B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lastRenderedPageBreak/>
              <w:t xml:space="preserve">2.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постижу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одговор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дефинисати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  <w:p w:rsidR="00EF1D5B" w:rsidRPr="00A875F3" w:rsidRDefault="00EF1D5B" w:rsidP="000F05E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EF1D5B" w:rsidRPr="00A875F3" w:rsidRDefault="00EF1D5B" w:rsidP="00B354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     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Предложеним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прописом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постижу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сљедећи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евидентирање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реализовање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нијесу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реализоване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правовремено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попут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укњижбе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објеката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катастар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приоритетних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редовном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ревизијом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имплементацијом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квалитетно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правовремено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ефикасно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праћење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локалном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нивоу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Pr="00A875F3" w:rsidRDefault="005756F1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„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лежи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“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приоритетних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самохраних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мајки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жртви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насиља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...</w:t>
            </w:r>
          </w:p>
          <w:p w:rsidR="00EF1D5B" w:rsidRPr="00A875F3" w:rsidRDefault="00EF1D5B" w:rsidP="008761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3.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Зашто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-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увијек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разматрати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препоручљиво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нерегулаторну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предложеног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Образложити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преферирану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преферирана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унапређује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равноправност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: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3C4D88" w:rsidRPr="00A875F3" w:rsidRDefault="003C4D88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овом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случају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сходно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35/2013).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Без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обзира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постојећи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плански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Никшић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његовог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предузимала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кораке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рјешавала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задатке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наведене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сходно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свеобухватан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уоквирен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писани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дјеловања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задатака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планова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пољу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посљедица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оквира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Pr="00A875F3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(“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="003C4D88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u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”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):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константна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ефективна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комуникација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надлежних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послове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оквиру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ефикасна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правовремена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квалитетна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евиденција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промјена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оквирима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оквирима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испитивања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акцентом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посредством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солидарног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тимског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дјеловања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већег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броја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обезбјеђивањем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подршке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међународних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заједница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других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донатора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сваком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сегменту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наведених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ријешити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случају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„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q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“,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непосредно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посредно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дјеловати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реализацији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родне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димензије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Default="00EF1D5B" w:rsidP="003C4D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  <w:p w:rsidR="00A97A11" w:rsidRPr="00A97A11" w:rsidRDefault="00A97A11" w:rsidP="003C4D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lastRenderedPageBreak/>
              <w:t xml:space="preserve">4.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Анализа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утицаја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највјероватније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-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набројати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негативне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негативне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индиректне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уштеде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изазвати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привреди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нарочито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малим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средњим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предузећима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посљедице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оправдавају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створити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подржава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стварање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нових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привредних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субјеката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тржишту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тржишна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конкуренција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процјену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административних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оптерећења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бизнис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баријера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EF1D5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највише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угрожене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категорије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становништва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окарактерисане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тренутне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кроз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кроз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евидентирање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сврху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пружања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најбољег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могућег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одговора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задовољавању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погледу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њиховог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статуса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негативно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ситуацијама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ради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бесправном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коришћењу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Такође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позитивно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овом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проблематиком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због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посједовања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свеобухватне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евиденције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могућности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правовременог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адекватног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пољу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Дефинишићи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постизање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кохезије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друштвене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солидарности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кроз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обезбјеђивање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простора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немају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обезбиједе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објекат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посредством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квалитетне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ревизије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станарских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тренутних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побољшање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квалитета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живота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грађана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посебно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припадника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рањивих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друштвених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тржишу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ријеше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). </w:t>
            </w:r>
          </w:p>
          <w:p w:rsidR="00EF1D5B" w:rsidRPr="00A875F3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изазива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уштеде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посматрано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индиректно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изазвати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уштеде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обезбјеђивањем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омогућити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уштеда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–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плаћати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закуп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неког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другог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објекта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закуп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општинског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уколико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материјалног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;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случају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реконструкције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уређивања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њеног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додјељивања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изазвати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трошак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малим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средњим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предузећима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уколико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појављују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донатори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уколико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институција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улаже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реконтрукцију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слично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</w:p>
          <w:p w:rsidR="00EF1D5B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  <w:p w:rsidR="00A97A11" w:rsidRDefault="00A97A1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  <w:p w:rsidR="00A97A11" w:rsidRPr="00A97A11" w:rsidRDefault="00A97A1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5.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Процјена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фискалног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утицаја</w:t>
            </w:r>
          </w:p>
          <w:p w:rsidR="003C4D88" w:rsidRPr="00A875F3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висину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прихода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износу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једнократно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одређеног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временског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периода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Образложити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обезбијеђена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текућу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фискалну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наредну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фискалну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остварити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потенцијални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проценту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корисници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узрок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неравноправности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између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мушкараца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?)</w:t>
            </w:r>
          </w:p>
          <w:p w:rsidR="00EF1D5B" w:rsidRPr="00A875F3" w:rsidRDefault="00EF1D5B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3C4D88" w:rsidRPr="00A875F3" w:rsidRDefault="003C4D88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висину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прихода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трошкова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што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значи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појавити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задатака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пољу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Pr="00A875F3" w:rsidRDefault="00EF1D5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Обезбјеђење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средстава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самоуправа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Црне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Горе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може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унапријед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дефинисано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),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већ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издаци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приходи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појавити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току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реализације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876135" w:rsidRDefault="005756F1" w:rsidP="00876135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Никшић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обезбијеђена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активности 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из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876135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, па је важно истаћи да је преко буџета </w:t>
            </w:r>
            <w:r w:rsidR="00AA6107" w:rsidRP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Секретаријата за инвест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иције и пројекте опредијељено </w:t>
            </w:r>
            <w:r w:rsidR="00AA6107" w:rsidRP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100.000,00€ за рјешавање стамбених потреба лица у стању социјалне потребе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</w:p>
          <w:p w:rsidR="00EF1D5B" w:rsidRPr="00AA6107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Сходно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обезбијеђена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буџетом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Општине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Никшић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ипак је немогуће унапријед п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роц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ијенити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утицај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мушкарце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односно утицај буџета на родну димензију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ове буџетске ставке. Тачније,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оно што је сигурно јесте да имплементацијом ове буџетске ставке не може доћи до родне неравноправности, јер се сви кораци у области социјалног становања предузимају у складу са законским регулативама (јавни позив, бодовне листе) или сходно хитноћи поступка.</w:t>
            </w:r>
          </w:p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6.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заинтересованих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страна</w:t>
            </w:r>
          </w:p>
          <w:p w:rsidR="003C4D88" w:rsidRPr="00A875F3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Назначити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коришћена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екстерна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експертска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подршка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Назначити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заинтересованих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консултоване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фази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РИА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процеса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јавне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).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представнице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удружења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рањивих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Назначити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главне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резултате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сугестије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заинтересованих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прихваћени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односно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прихваћени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Образложити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EF1D5B" w:rsidRPr="00AA6107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Екстерна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експертска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подршка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коришћена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приликом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израде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неопходна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сагласност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Министарства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одрживог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развоја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туризма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сходно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законској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доношења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Међутим, у току године није искључена контрола од стране наведеног органа, кроз подношење извјештаја о реализованим корацима или извјештавање о неким значајним подацима, а на њихов захтјев. </w:t>
            </w:r>
          </w:p>
          <w:p w:rsidR="00EF1D5B" w:rsidRPr="00A875F3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поступку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припреме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културу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извршио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имају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додирних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тачака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политиком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Дирекција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имовину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уређење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простора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заштиту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животне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Служба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менаџера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начин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прикупљени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потребни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подаци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обрађени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конкретизовани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кроз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појединачна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поглавља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упарени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подацима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овог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A6107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Представници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женских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удружења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рањивих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креирања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већ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укључени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),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када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подносе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предлоге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ситуације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одређених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приоритетних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група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утичу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рјешавање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проблема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овој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области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слично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 xml:space="preserve"> Међутим, нуди им се могућност учешћа кроз јавну расправу и централну јавну расправу, али те прилике до сада нијесу искоришћене.</w:t>
            </w:r>
          </w:p>
          <w:p w:rsidR="00EF1D5B" w:rsidRPr="00A875F3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Предлога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сугестија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израду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било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  <w:p w:rsidR="00A97A11" w:rsidRPr="00A97A11" w:rsidRDefault="00A97A1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</w:pPr>
          </w:p>
        </w:tc>
      </w:tr>
      <w:tr w:rsidR="00EF1D5B" w:rsidRPr="005756F1" w:rsidTr="000F05ED">
        <w:tc>
          <w:tcPr>
            <w:tcW w:w="9576" w:type="dxa"/>
            <w:gridSpan w:val="2"/>
            <w:shd w:val="clear" w:color="auto" w:fill="D2EAF1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7.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Мониторинг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5756F1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евалуација</w:t>
            </w:r>
          </w:p>
          <w:p w:rsidR="003C4D88" w:rsidRPr="00A875F3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потенцијалне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препреке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? 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главни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индикатори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  <w:p w:rsidR="00EF1D5B" w:rsidRPr="00A875F3" w:rsidRDefault="005756F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задужен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спровођење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мониторинга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?</w:t>
            </w:r>
          </w:p>
        </w:tc>
      </w:tr>
      <w:tr w:rsidR="00EF1D5B" w:rsidRPr="005756F1" w:rsidTr="000F05ED">
        <w:tc>
          <w:tcPr>
            <w:tcW w:w="9576" w:type="dxa"/>
            <w:gridSpan w:val="2"/>
          </w:tcPr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Потенцијалне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препреке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могу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бити 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недостатку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финансијских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средстава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имплементацију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пројеката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 нека хитна дјеловања у поступку рјешавања стамбених питања или одржавања стамбених објеката,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неадекватно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извршавање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обавеза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стране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одређених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(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нпр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укњижби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стамбених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јединица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, покретања поступака за исељење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...).</w:t>
            </w:r>
          </w:p>
          <w:p w:rsidR="00EF1D5B" w:rsidRPr="00A875F3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испунили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током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прописа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остваривати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сарадња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свим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релевантним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управе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другим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субјектима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којих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зависи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реализација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планираних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вршиће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редовне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консултације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унутар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надлежног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органа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Главни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индикатор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према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мјерити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испуњење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циљева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годишњи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Извјештај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Министарству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одрживог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развоја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туризма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вези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реализованим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планираним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активностима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сходно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Локалном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sr-Cyrl-ME"/>
              </w:rPr>
              <w:t>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5756F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спровођење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мониторинга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евалуације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примјене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Локалног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програма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социјалног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становања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AA6107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2024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.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годину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биће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задужен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Секретаријат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за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културу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спорт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,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младе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и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социјално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 xml:space="preserve"> </w:t>
            </w:r>
            <w:r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старање</w:t>
            </w:r>
            <w:r w:rsidR="00EF1D5B" w:rsidRPr="00A875F3"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  <w:t>.</w:t>
            </w:r>
          </w:p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  <w:p w:rsidR="00EF1D5B" w:rsidRPr="00A875F3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17365D"/>
                <w:sz w:val="20"/>
                <w:szCs w:val="20"/>
                <w:lang w:val="pl-PL"/>
              </w:rPr>
            </w:pPr>
          </w:p>
        </w:tc>
      </w:tr>
    </w:tbl>
    <w:p w:rsidR="00EF1D5B" w:rsidRPr="005756F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Cyrl-CS"/>
        </w:rPr>
      </w:pPr>
    </w:p>
    <w:p w:rsidR="00EF1D5B" w:rsidRDefault="00EF1D5B">
      <w:pPr>
        <w:rPr>
          <w:rFonts w:ascii="Arial" w:hAnsi="Arial" w:cs="Arial"/>
          <w:b/>
          <w:noProof/>
          <w:lang w:val="sr-Cyrl-CS"/>
        </w:rPr>
      </w:pPr>
    </w:p>
    <w:p w:rsidR="00A97A11" w:rsidRDefault="00A97A11">
      <w:pPr>
        <w:rPr>
          <w:rFonts w:ascii="Arial" w:hAnsi="Arial" w:cs="Arial"/>
          <w:b/>
          <w:noProof/>
          <w:lang w:val="sr-Cyrl-CS"/>
        </w:rPr>
      </w:pPr>
    </w:p>
    <w:p w:rsidR="00A97A11" w:rsidRDefault="00A97A11">
      <w:pPr>
        <w:rPr>
          <w:rFonts w:ascii="Arial" w:hAnsi="Arial" w:cs="Arial"/>
          <w:b/>
          <w:noProof/>
          <w:lang w:val="sr-Cyrl-CS"/>
        </w:rPr>
      </w:pPr>
    </w:p>
    <w:p w:rsidR="00AA6107" w:rsidRPr="005756F1" w:rsidRDefault="00AA6107">
      <w:pPr>
        <w:rPr>
          <w:rFonts w:ascii="Arial" w:hAnsi="Arial" w:cs="Arial"/>
          <w:b/>
          <w:noProof/>
          <w:lang w:val="sr-Cyrl-CS"/>
        </w:rPr>
      </w:pPr>
    </w:p>
    <w:p w:rsidR="00EF1D5B" w:rsidRPr="00FB2CB4" w:rsidRDefault="001F1799">
      <w:pPr>
        <w:rPr>
          <w:rFonts w:ascii="Arial" w:hAnsi="Arial" w:cs="Arial"/>
          <w:b/>
          <w:color w:val="17365D"/>
          <w:lang w:val="sr-Cyrl-ME"/>
        </w:rPr>
      </w:pPr>
      <w:r w:rsidRPr="00A875F3">
        <w:rPr>
          <w:rFonts w:ascii="Arial" w:hAnsi="Arial" w:cs="Arial"/>
          <w:b/>
          <w:color w:val="17365D"/>
        </w:rPr>
        <w:t>Датум и мјесто</w:t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</w:r>
      <w:r w:rsidR="00EF1D5B" w:rsidRPr="00A875F3">
        <w:rPr>
          <w:rFonts w:ascii="Arial" w:hAnsi="Arial" w:cs="Arial"/>
          <w:b/>
          <w:color w:val="17365D"/>
        </w:rPr>
        <w:tab/>
        <w:t xml:space="preserve">   </w:t>
      </w:r>
      <w:r w:rsidRPr="00A875F3">
        <w:rPr>
          <w:rFonts w:ascii="Arial" w:hAnsi="Arial" w:cs="Arial"/>
          <w:b/>
          <w:color w:val="17365D"/>
        </w:rPr>
        <w:t xml:space="preserve">  </w:t>
      </w:r>
      <w:r w:rsidR="00FB2CB4">
        <w:rPr>
          <w:rFonts w:ascii="Arial" w:hAnsi="Arial" w:cs="Arial"/>
          <w:b/>
          <w:color w:val="17365D"/>
          <w:lang w:val="sr-Cyrl-ME"/>
        </w:rPr>
        <w:t xml:space="preserve">          </w:t>
      </w:r>
      <w:r w:rsidR="00EF1D5B" w:rsidRPr="00A875F3">
        <w:rPr>
          <w:rFonts w:ascii="Arial" w:hAnsi="Arial" w:cs="Arial"/>
          <w:b/>
          <w:color w:val="17365D"/>
        </w:rPr>
        <w:t xml:space="preserve">  </w:t>
      </w:r>
      <w:r w:rsidR="00FB2CB4">
        <w:rPr>
          <w:rFonts w:ascii="Arial" w:hAnsi="Arial" w:cs="Arial"/>
          <w:b/>
          <w:color w:val="17365D"/>
          <w:lang w:val="sr-Cyrl-ME"/>
        </w:rPr>
        <w:t>СЕКРЕТАР</w:t>
      </w:r>
    </w:p>
    <w:p w:rsidR="00EF1D5B" w:rsidRPr="005756F1" w:rsidRDefault="00EF1D5B">
      <w:pPr>
        <w:rPr>
          <w:rFonts w:ascii="Arial" w:hAnsi="Arial" w:cs="Arial"/>
          <w:noProof/>
          <w:lang w:val="sr-Cyrl-CS"/>
        </w:rPr>
      </w:pPr>
    </w:p>
    <w:p w:rsidR="00EF1D5B" w:rsidRPr="005756F1" w:rsidRDefault="001F1799">
      <w:pPr>
        <w:rPr>
          <w:rFonts w:ascii="Arial" w:hAnsi="Arial" w:cs="Arial"/>
          <w:noProof/>
          <w:lang w:val="sr-Cyrl-CS"/>
        </w:rPr>
      </w:pPr>
      <w:r w:rsidRPr="00A875F3">
        <w:rPr>
          <w:rFonts w:ascii="Arial" w:hAnsi="Arial" w:cs="Arial"/>
          <w:color w:val="17365D"/>
        </w:rPr>
        <w:t>Никшић</w:t>
      </w:r>
      <w:r w:rsidR="00EF1D5B" w:rsidRPr="00A875F3">
        <w:rPr>
          <w:rFonts w:ascii="Arial" w:hAnsi="Arial" w:cs="Arial"/>
          <w:color w:val="17365D"/>
        </w:rPr>
        <w:t xml:space="preserve">, </w:t>
      </w:r>
      <w:r w:rsidR="00AA6107">
        <w:rPr>
          <w:rFonts w:ascii="Arial" w:hAnsi="Arial" w:cs="Arial"/>
          <w:color w:val="17365D"/>
          <w:lang w:val="sr-Cyrl-ME"/>
        </w:rPr>
        <w:t>1</w:t>
      </w:r>
      <w:r w:rsidR="00A97A11">
        <w:rPr>
          <w:rFonts w:ascii="Arial" w:hAnsi="Arial" w:cs="Arial"/>
          <w:color w:val="17365D"/>
          <w:lang w:val="sr-Cyrl-ME"/>
        </w:rPr>
        <w:t>2</w:t>
      </w:r>
      <w:r w:rsidR="00AA6107">
        <w:rPr>
          <w:rFonts w:ascii="Arial" w:hAnsi="Arial" w:cs="Arial"/>
          <w:color w:val="17365D"/>
          <w:lang w:val="sr-Cyrl-ME"/>
        </w:rPr>
        <w:t>.12.2023</w:t>
      </w:r>
      <w:r w:rsidR="00EF1D5B" w:rsidRPr="00A875F3">
        <w:rPr>
          <w:rFonts w:ascii="Arial" w:hAnsi="Arial" w:cs="Arial"/>
          <w:color w:val="17365D"/>
        </w:rPr>
        <w:t>.</w:t>
      </w:r>
      <w:r w:rsidR="00EF1D5B" w:rsidRPr="00A875F3">
        <w:rPr>
          <w:rFonts w:ascii="Arial" w:hAnsi="Arial" w:cs="Arial"/>
          <w:color w:val="17365D"/>
        </w:rPr>
        <w:tab/>
      </w:r>
      <w:r w:rsidR="00EF1D5B" w:rsidRPr="00A875F3">
        <w:rPr>
          <w:rFonts w:ascii="Arial" w:hAnsi="Arial" w:cs="Arial"/>
          <w:color w:val="17365D"/>
        </w:rPr>
        <w:tab/>
      </w:r>
      <w:r w:rsidR="00EF1D5B" w:rsidRPr="00A875F3">
        <w:rPr>
          <w:rFonts w:ascii="Arial" w:hAnsi="Arial" w:cs="Arial"/>
          <w:color w:val="17365D"/>
        </w:rPr>
        <w:tab/>
      </w:r>
      <w:r w:rsidR="00EF1D5B" w:rsidRPr="00A875F3">
        <w:rPr>
          <w:rFonts w:ascii="Arial" w:hAnsi="Arial" w:cs="Arial"/>
          <w:color w:val="17365D"/>
        </w:rPr>
        <w:tab/>
        <w:t xml:space="preserve">        </w:t>
      </w:r>
      <w:r w:rsidR="00EF1D5B" w:rsidRPr="00A875F3">
        <w:rPr>
          <w:rFonts w:ascii="Arial" w:hAnsi="Arial" w:cs="Arial"/>
          <w:color w:val="17365D"/>
        </w:rPr>
        <w:tab/>
      </w:r>
      <w:r w:rsidR="00EF1D5B" w:rsidRPr="00A875F3">
        <w:rPr>
          <w:rFonts w:ascii="Arial" w:hAnsi="Arial" w:cs="Arial"/>
          <w:color w:val="17365D"/>
        </w:rPr>
        <w:tab/>
      </w:r>
      <w:r w:rsidR="00ED7F39">
        <w:rPr>
          <w:rFonts w:ascii="Arial" w:hAnsi="Arial" w:cs="Arial"/>
          <w:color w:val="17365D"/>
          <w:lang w:val="sr-Cyrl-ME"/>
        </w:rPr>
        <w:t>Дејан Ивановић</w:t>
      </w:r>
      <w:bookmarkStart w:id="0" w:name="_GoBack"/>
      <w:bookmarkEnd w:id="0"/>
      <w:r w:rsidR="00786400">
        <w:rPr>
          <w:rFonts w:ascii="Arial" w:hAnsi="Arial" w:cs="Arial"/>
          <w:color w:val="17365D"/>
          <w:lang w:val="sr-Latn-ME"/>
        </w:rPr>
        <w:t xml:space="preserve">, </w:t>
      </w:r>
      <w:r w:rsidR="00786400">
        <w:rPr>
          <w:rFonts w:ascii="Arial" w:hAnsi="Arial" w:cs="Arial"/>
          <w:color w:val="17365D"/>
          <w:lang w:val="sr-Cyrl-RS"/>
        </w:rPr>
        <w:t>с</w:t>
      </w:r>
      <w:r w:rsidR="00786400">
        <w:rPr>
          <w:rFonts w:ascii="Arial" w:hAnsi="Arial" w:cs="Arial"/>
          <w:color w:val="17365D"/>
          <w:lang w:val="sr-Latn-ME"/>
        </w:rPr>
        <w:t>.</w:t>
      </w:r>
      <w:r w:rsidR="00786400">
        <w:rPr>
          <w:rFonts w:ascii="Arial" w:hAnsi="Arial" w:cs="Arial"/>
          <w:color w:val="17365D"/>
          <w:lang w:val="sr-Cyrl-RS"/>
        </w:rPr>
        <w:t>р</w:t>
      </w:r>
      <w:r w:rsidR="00786400">
        <w:rPr>
          <w:rFonts w:ascii="Arial" w:hAnsi="Arial" w:cs="Arial"/>
          <w:color w:val="17365D"/>
          <w:lang w:val="sr-Latn-ME"/>
        </w:rPr>
        <w:t>.</w:t>
      </w:r>
      <w:r w:rsidR="00EF1D5B" w:rsidRPr="00A875F3">
        <w:rPr>
          <w:rFonts w:ascii="Arial" w:hAnsi="Arial" w:cs="Arial"/>
          <w:color w:val="17365D"/>
        </w:rPr>
        <w:tab/>
      </w:r>
      <w:r w:rsidR="00EF1D5B" w:rsidRPr="00A875F3">
        <w:rPr>
          <w:rFonts w:ascii="Arial" w:hAnsi="Arial" w:cs="Arial"/>
          <w:color w:val="17365D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  <w:r w:rsidR="00EF1D5B" w:rsidRPr="005756F1">
        <w:rPr>
          <w:rFonts w:ascii="Arial" w:hAnsi="Arial" w:cs="Arial"/>
          <w:noProof/>
          <w:lang w:val="sr-Cyrl-CS"/>
        </w:rPr>
        <w:tab/>
      </w:r>
    </w:p>
    <w:p w:rsidR="00EF1D5B" w:rsidRPr="005756F1" w:rsidRDefault="00EF1D5B">
      <w:pPr>
        <w:rPr>
          <w:rFonts w:ascii="Arial" w:hAnsi="Arial" w:cs="Arial"/>
          <w:noProof/>
          <w:lang w:val="sr-Cyrl-CS"/>
        </w:rPr>
      </w:pPr>
    </w:p>
    <w:sectPr w:rsidR="00EF1D5B" w:rsidRPr="005756F1" w:rsidSect="00322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6F" w:rsidRDefault="0049726F" w:rsidP="00BA7396">
      <w:r>
        <w:separator/>
      </w:r>
    </w:p>
  </w:endnote>
  <w:endnote w:type="continuationSeparator" w:id="0">
    <w:p w:rsidR="0049726F" w:rsidRDefault="0049726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1" w:rsidRDefault="00575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1" w:rsidRDefault="00575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1" w:rsidRDefault="00575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6F" w:rsidRDefault="0049726F" w:rsidP="00BA7396">
      <w:r>
        <w:separator/>
      </w:r>
    </w:p>
  </w:footnote>
  <w:footnote w:type="continuationSeparator" w:id="0">
    <w:p w:rsidR="0049726F" w:rsidRDefault="0049726F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1" w:rsidRDefault="00575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1" w:rsidRDefault="00575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F1" w:rsidRDefault="00575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3473"/>
    <w:rsid w:val="00043CCD"/>
    <w:rsid w:val="000511F0"/>
    <w:rsid w:val="00052CBE"/>
    <w:rsid w:val="000562D6"/>
    <w:rsid w:val="000629D8"/>
    <w:rsid w:val="00067FCF"/>
    <w:rsid w:val="000716AC"/>
    <w:rsid w:val="00075306"/>
    <w:rsid w:val="000E5392"/>
    <w:rsid w:val="000E7E95"/>
    <w:rsid w:val="000E7FBD"/>
    <w:rsid w:val="000F05ED"/>
    <w:rsid w:val="00136E1D"/>
    <w:rsid w:val="00154647"/>
    <w:rsid w:val="00162BB1"/>
    <w:rsid w:val="001C7348"/>
    <w:rsid w:val="001D0BF0"/>
    <w:rsid w:val="001E1794"/>
    <w:rsid w:val="001E3E69"/>
    <w:rsid w:val="001F1799"/>
    <w:rsid w:val="001F4328"/>
    <w:rsid w:val="002072BA"/>
    <w:rsid w:val="002251D6"/>
    <w:rsid w:val="00235BF5"/>
    <w:rsid w:val="00244B91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57476"/>
    <w:rsid w:val="00392F99"/>
    <w:rsid w:val="00395587"/>
    <w:rsid w:val="003C4D88"/>
    <w:rsid w:val="003E2C66"/>
    <w:rsid w:val="003F334E"/>
    <w:rsid w:val="0047459A"/>
    <w:rsid w:val="00494A64"/>
    <w:rsid w:val="0049726F"/>
    <w:rsid w:val="004A4396"/>
    <w:rsid w:val="004B549B"/>
    <w:rsid w:val="004E1351"/>
    <w:rsid w:val="004F4F9C"/>
    <w:rsid w:val="00504237"/>
    <w:rsid w:val="0054756C"/>
    <w:rsid w:val="005756F1"/>
    <w:rsid w:val="005805F3"/>
    <w:rsid w:val="005C4266"/>
    <w:rsid w:val="005D43E5"/>
    <w:rsid w:val="005F00B7"/>
    <w:rsid w:val="005F03ED"/>
    <w:rsid w:val="005F283F"/>
    <w:rsid w:val="005F6D49"/>
    <w:rsid w:val="00601210"/>
    <w:rsid w:val="006129CD"/>
    <w:rsid w:val="00612E49"/>
    <w:rsid w:val="00635846"/>
    <w:rsid w:val="00655AF0"/>
    <w:rsid w:val="006710AA"/>
    <w:rsid w:val="00673F68"/>
    <w:rsid w:val="00681DE1"/>
    <w:rsid w:val="006A1B2C"/>
    <w:rsid w:val="006A3B25"/>
    <w:rsid w:val="006A3B76"/>
    <w:rsid w:val="006A7135"/>
    <w:rsid w:val="006B4020"/>
    <w:rsid w:val="006C4F93"/>
    <w:rsid w:val="006E4E97"/>
    <w:rsid w:val="006F1605"/>
    <w:rsid w:val="00702CFF"/>
    <w:rsid w:val="007043B6"/>
    <w:rsid w:val="00705E35"/>
    <w:rsid w:val="00721692"/>
    <w:rsid w:val="00721DB9"/>
    <w:rsid w:val="00722885"/>
    <w:rsid w:val="00733149"/>
    <w:rsid w:val="00736E8D"/>
    <w:rsid w:val="00741A35"/>
    <w:rsid w:val="00762C49"/>
    <w:rsid w:val="007849D1"/>
    <w:rsid w:val="00786400"/>
    <w:rsid w:val="007A1C7D"/>
    <w:rsid w:val="007C12EB"/>
    <w:rsid w:val="007D05DC"/>
    <w:rsid w:val="008169A7"/>
    <w:rsid w:val="00825AEF"/>
    <w:rsid w:val="008301C9"/>
    <w:rsid w:val="008322D4"/>
    <w:rsid w:val="00833765"/>
    <w:rsid w:val="0085327D"/>
    <w:rsid w:val="00871235"/>
    <w:rsid w:val="00876135"/>
    <w:rsid w:val="008A2781"/>
    <w:rsid w:val="008B09E9"/>
    <w:rsid w:val="008C0535"/>
    <w:rsid w:val="008E4862"/>
    <w:rsid w:val="008E6C79"/>
    <w:rsid w:val="0091493A"/>
    <w:rsid w:val="009535C3"/>
    <w:rsid w:val="00960A46"/>
    <w:rsid w:val="00972845"/>
    <w:rsid w:val="00981466"/>
    <w:rsid w:val="00984C72"/>
    <w:rsid w:val="009874EB"/>
    <w:rsid w:val="00A07773"/>
    <w:rsid w:val="00A265F9"/>
    <w:rsid w:val="00A34E9B"/>
    <w:rsid w:val="00A40D93"/>
    <w:rsid w:val="00A71595"/>
    <w:rsid w:val="00A875F3"/>
    <w:rsid w:val="00A97A11"/>
    <w:rsid w:val="00AA117E"/>
    <w:rsid w:val="00AA6107"/>
    <w:rsid w:val="00AC6578"/>
    <w:rsid w:val="00AD100C"/>
    <w:rsid w:val="00AE160B"/>
    <w:rsid w:val="00AF06EA"/>
    <w:rsid w:val="00B2646E"/>
    <w:rsid w:val="00B3542B"/>
    <w:rsid w:val="00B40AA1"/>
    <w:rsid w:val="00B535B4"/>
    <w:rsid w:val="00B7089B"/>
    <w:rsid w:val="00BA7396"/>
    <w:rsid w:val="00BA7877"/>
    <w:rsid w:val="00BD4282"/>
    <w:rsid w:val="00BE11B9"/>
    <w:rsid w:val="00C111D8"/>
    <w:rsid w:val="00C179F9"/>
    <w:rsid w:val="00C450DD"/>
    <w:rsid w:val="00C5148C"/>
    <w:rsid w:val="00C549B4"/>
    <w:rsid w:val="00C72668"/>
    <w:rsid w:val="00C75DF0"/>
    <w:rsid w:val="00C773E3"/>
    <w:rsid w:val="00C87DA2"/>
    <w:rsid w:val="00D06D2A"/>
    <w:rsid w:val="00D25692"/>
    <w:rsid w:val="00D2720B"/>
    <w:rsid w:val="00D27C82"/>
    <w:rsid w:val="00D36EDF"/>
    <w:rsid w:val="00D4308A"/>
    <w:rsid w:val="00D77412"/>
    <w:rsid w:val="00D87CB1"/>
    <w:rsid w:val="00DA645F"/>
    <w:rsid w:val="00DB1891"/>
    <w:rsid w:val="00E01C40"/>
    <w:rsid w:val="00E3478E"/>
    <w:rsid w:val="00E61671"/>
    <w:rsid w:val="00E721E9"/>
    <w:rsid w:val="00E80201"/>
    <w:rsid w:val="00EC58BD"/>
    <w:rsid w:val="00ED0AF4"/>
    <w:rsid w:val="00ED0F74"/>
    <w:rsid w:val="00ED4766"/>
    <w:rsid w:val="00ED7F39"/>
    <w:rsid w:val="00EF1D5B"/>
    <w:rsid w:val="00F14603"/>
    <w:rsid w:val="00F20105"/>
    <w:rsid w:val="00F72683"/>
    <w:rsid w:val="00F7433F"/>
    <w:rsid w:val="00F76057"/>
    <w:rsid w:val="00F829CD"/>
    <w:rsid w:val="00FA6472"/>
    <w:rsid w:val="00FA76B0"/>
    <w:rsid w:val="00FB2CB4"/>
    <w:rsid w:val="00FB5EE2"/>
    <w:rsid w:val="00FB6BD5"/>
    <w:rsid w:val="00FB7CBA"/>
    <w:rsid w:val="00FC2A13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7</cp:revision>
  <cp:lastPrinted>2023-12-11T10:16:00Z</cp:lastPrinted>
  <dcterms:created xsi:type="dcterms:W3CDTF">2023-12-11T09:05:00Z</dcterms:created>
  <dcterms:modified xsi:type="dcterms:W3CDTF">2023-12-11T11:39:00Z</dcterms:modified>
</cp:coreProperties>
</file>