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636ED" w14:textId="7709EAAA" w:rsidR="00EF1D5B" w:rsidRPr="007D7D11" w:rsidRDefault="007D7D11" w:rsidP="004A5E43">
      <w:pPr>
        <w:autoSpaceDE w:val="0"/>
        <w:autoSpaceDN w:val="0"/>
        <w:adjustRightInd w:val="0"/>
        <w:jc w:val="right"/>
        <w:rPr>
          <w:rFonts w:ascii="Arial" w:hAnsi="Arial" w:cs="Arial"/>
          <w:b/>
          <w:bCs w:val="0"/>
          <w:noProof/>
          <w:color w:val="17365D"/>
          <w:szCs w:val="24"/>
          <w:lang w:val="sr-Latn-CS"/>
        </w:rPr>
      </w:pPr>
      <w:r>
        <w:rPr>
          <w:rFonts w:ascii="Arial" w:hAnsi="Arial" w:cs="Arial"/>
          <w:b/>
          <w:bCs w:val="0"/>
          <w:noProof/>
          <w:color w:val="17365D"/>
          <w:szCs w:val="24"/>
          <w:lang w:val="sr-Latn-CS"/>
        </w:rPr>
        <w:t>OBRAZAC</w:t>
      </w:r>
    </w:p>
    <w:p w14:paraId="64A5FA10" w14:textId="77777777" w:rsidR="00EF1D5B" w:rsidRPr="007D7D11" w:rsidRDefault="00EF1D5B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Latn-CS"/>
        </w:rPr>
      </w:pPr>
    </w:p>
    <w:p w14:paraId="4E771B18" w14:textId="77777777" w:rsidR="00EF1D5B" w:rsidRPr="007D7D11" w:rsidRDefault="00EF1D5B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Latn-CS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978"/>
        <w:gridCol w:w="5598"/>
      </w:tblGrid>
      <w:tr w:rsidR="00EF1D5B" w:rsidRPr="007D7D11" w14:paraId="0E9AD239" w14:textId="77777777" w:rsidTr="000F05ED">
        <w:tc>
          <w:tcPr>
            <w:tcW w:w="9576" w:type="dxa"/>
            <w:gridSpan w:val="2"/>
            <w:tcBorders>
              <w:bottom w:val="single" w:sz="18" w:space="0" w:color="4BACC6"/>
            </w:tcBorders>
          </w:tcPr>
          <w:p w14:paraId="4A57350B" w14:textId="136A5FB6" w:rsidR="00EF1D5B" w:rsidRPr="007D7D11" w:rsidRDefault="007D7D11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IZVJEŠTAJ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ANALIZI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UTICAJA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PROPISA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ZA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LOKALNE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SAMOUPRAVE</w:t>
            </w:r>
          </w:p>
        </w:tc>
      </w:tr>
      <w:tr w:rsidR="00EF1D5B" w:rsidRPr="007D7D11" w14:paraId="7B64DED1" w14:textId="77777777" w:rsidTr="000F05ED">
        <w:tc>
          <w:tcPr>
            <w:tcW w:w="3978" w:type="dxa"/>
            <w:shd w:val="clear" w:color="auto" w:fill="D2EAF1"/>
          </w:tcPr>
          <w:p w14:paraId="647F8569" w14:textId="22DCF63D" w:rsidR="00EF1D5B" w:rsidRPr="007D7D11" w:rsidRDefault="007D7D11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OBRAĐIVAČ</w:t>
            </w:r>
            <w:r w:rsidR="003B5BF3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</w:p>
        </w:tc>
        <w:tc>
          <w:tcPr>
            <w:tcW w:w="5598" w:type="dxa"/>
            <w:shd w:val="clear" w:color="auto" w:fill="D2EAF1"/>
          </w:tcPr>
          <w:p w14:paraId="0B2DE989" w14:textId="20A61142" w:rsidR="00EF1D5B" w:rsidRPr="007D7D11" w:rsidRDefault="007D7D11" w:rsidP="00FB5EE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Sekretarijat</w:t>
            </w:r>
            <w:r w:rsidR="003B5BF3" w:rsidRPr="007D7D11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3B5BF3" w:rsidRPr="007D7D11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kulturu</w:t>
            </w:r>
            <w:r w:rsidR="003B5BF3" w:rsidRPr="007D7D11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sport</w:t>
            </w:r>
            <w:r w:rsidR="003B5BF3" w:rsidRPr="007D7D11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3B5BF3" w:rsidRPr="007D7D11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3B5BF3" w:rsidRPr="007D7D11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socijalno</w:t>
            </w:r>
            <w:r w:rsidR="003B5BF3" w:rsidRPr="007D7D11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staranje</w:t>
            </w:r>
          </w:p>
        </w:tc>
      </w:tr>
      <w:tr w:rsidR="00EF1D5B" w:rsidRPr="007D7D11" w14:paraId="179CC0DA" w14:textId="77777777" w:rsidTr="000F05ED">
        <w:tc>
          <w:tcPr>
            <w:tcW w:w="3978" w:type="dxa"/>
          </w:tcPr>
          <w:p w14:paraId="67C50503" w14:textId="6C3C436F" w:rsidR="00EF1D5B" w:rsidRPr="007D7D11" w:rsidRDefault="007D7D11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NAZIV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</w:p>
        </w:tc>
        <w:tc>
          <w:tcPr>
            <w:tcW w:w="5598" w:type="dxa"/>
          </w:tcPr>
          <w:p w14:paraId="0C5E457F" w14:textId="2F200FA1" w:rsidR="00EF1D5B" w:rsidRPr="007D7D11" w:rsidRDefault="007D7D11" w:rsidP="00DC555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akcioni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opštini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202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5-2026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godinu</w:t>
            </w:r>
          </w:p>
        </w:tc>
      </w:tr>
      <w:tr w:rsidR="00EF1D5B" w:rsidRPr="007D7D11" w14:paraId="7DDE9BFD" w14:textId="77777777" w:rsidTr="000F05ED">
        <w:tc>
          <w:tcPr>
            <w:tcW w:w="9576" w:type="dxa"/>
            <w:gridSpan w:val="2"/>
            <w:shd w:val="clear" w:color="auto" w:fill="D2EAF1"/>
          </w:tcPr>
          <w:p w14:paraId="739F2902" w14:textId="73334962" w:rsidR="00EF1D5B" w:rsidRPr="007D7D11" w:rsidRDefault="00EF1D5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1.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Definisanje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</w:p>
          <w:p w14:paraId="3BF52C4F" w14:textId="51470385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posledica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zahtjeva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)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državnom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nivou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47B1B2D5" w14:textId="356E5CAA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Navesti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zakonski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osnov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strateškim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dokumentima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postoji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072670F2" w14:textId="32FD1B25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može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odstupati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odredbi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državnom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nivou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kojoj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68C7A60A" w14:textId="29CEC8C5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riječ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sopstvenim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nadležnostima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prenesenom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povjerenom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4E39BB54" w14:textId="72392D28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treba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riješi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17D45C5C" w14:textId="03B77048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dimenziju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posebni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</w:t>
            </w:r>
          </w:p>
          <w:p w14:paraId="48E7FCE7" w14:textId="16C4C3F8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1A6E4D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uzroci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06DE0EB3" w14:textId="7F417F11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posledice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0FE6A845" w14:textId="330F23DE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subjekti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oštećeni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način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kojoj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-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muškarci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</w:t>
            </w:r>
          </w:p>
          <w:p w14:paraId="1ED21E3C" w14:textId="1F1AD1BF" w:rsidR="00EF1D5B" w:rsidRPr="007D7D11" w:rsidRDefault="007D7D11" w:rsidP="00984C7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Kako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evoluirao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bez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promjene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(“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status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q</w:t>
            </w:r>
            <w:r w:rsidR="00984C7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”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)?</w:t>
            </w:r>
          </w:p>
        </w:tc>
      </w:tr>
      <w:tr w:rsidR="00EF1D5B" w:rsidRPr="00AA535E" w14:paraId="1E751672" w14:textId="77777777" w:rsidTr="000F05ED">
        <w:tc>
          <w:tcPr>
            <w:tcW w:w="9576" w:type="dxa"/>
            <w:gridSpan w:val="2"/>
          </w:tcPr>
          <w:p w14:paraId="2E368F71" w14:textId="77777777" w:rsidR="00DF32CE" w:rsidRPr="007D7D11" w:rsidRDefault="00DF32CE" w:rsidP="005F283F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601341F4" w14:textId="150B6977" w:rsidR="00EF1D5B" w:rsidRPr="007D7D11" w:rsidRDefault="007D7D11" w:rsidP="005F283F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</w:p>
          <w:p w14:paraId="5DD61005" w14:textId="6AB8E772" w:rsidR="00EF1D5B" w:rsidRPr="007D7D11" w:rsidRDefault="007D7D1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Zakonski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osnov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Lokalnog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akcionog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plana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692025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202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5-2026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godinu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: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Zakon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mladima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 w:rsidR="00FB1B5F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„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Službeni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list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</w:t>
            </w:r>
            <w:r w:rsidR="003E3E0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Gore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”,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broj</w:t>
            </w:r>
            <w:r w:rsidR="00FB1B5F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br. 25/19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27/19)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Strategija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Gore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2023-2027.</w:t>
            </w:r>
          </w:p>
          <w:p w14:paraId="78317C9C" w14:textId="4F8FD073" w:rsidR="00EF1D5B" w:rsidRPr="007D7D11" w:rsidRDefault="007D7D1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može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odstupiti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odredbi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državnom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nivou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već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može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bliže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odrediti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iste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Obaveza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lokalnih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samouprava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jeste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vodi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definisanim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operativnim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ciljevima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Strategije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za mlade 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2023-202</w:t>
            </w:r>
            <w:r w:rsidR="004B509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7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1D8662FC" w14:textId="07C478BC" w:rsidR="00EF1D5B" w:rsidRPr="007D7D11" w:rsidRDefault="007D7D1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Riječ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sopstvenim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nadležnostima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omladinska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politika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lokalnom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nivou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nadležnosti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Sekretarijata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kulturu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sport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socijalno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staranje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kreira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sprovodi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prati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implementaciju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00ADCC23" w14:textId="6E307B77" w:rsidR="001C3BC4" w:rsidRPr="007D7D11" w:rsidRDefault="007D7D1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Predloženim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aktom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teži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rješavanju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pitanja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probleme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kojima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suočavaju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Nikšiću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kao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akteri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omladinske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politike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sve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cilju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poboljšanja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položaja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mladih</w:t>
            </w:r>
            <w:r w:rsidR="001C3BC4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23C69678" w14:textId="0034E5D5" w:rsidR="00987A86" w:rsidRPr="007D7D11" w:rsidRDefault="007D7D1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dimenziju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poseban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aspekta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definisanja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aktivnosti, pojedine imaju poseban značaj za žene i rodnu ravnopranost.</w:t>
            </w:r>
          </w:p>
          <w:p w14:paraId="66696B19" w14:textId="7A8F7B22" w:rsidR="00EF1D5B" w:rsidRPr="007D7D11" w:rsidRDefault="007D7D1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Uzroci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: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nezaposlenost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mladih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mali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broj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mladih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neformalnom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obrazovanju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slaba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posjećenost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kulturnih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sadržaja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nizak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stepen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učešća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procesima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kreiranja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politika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nedovoljan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br</w:t>
            </w:r>
            <w:r w:rsidR="001A6E4D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mladih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bave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volontiranjem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aktivizmom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sl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753E9511" w14:textId="41886898" w:rsidR="00EF1D5B" w:rsidRPr="007D7D11" w:rsidRDefault="007D7D11" w:rsidP="002D1A66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Posledice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pasivnost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mladih</w:t>
            </w:r>
            <w:r w:rsidR="00806745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potreba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napuste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grad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nepostojanje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koordinisanog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pristupa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problemima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1CC82CE0" w14:textId="69F433BF" w:rsidR="00987A86" w:rsidRPr="007D7D11" w:rsidRDefault="007D7D11" w:rsidP="002D1A66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Subjekti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oštećeni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prije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svega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zatim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institucije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bave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omladinskom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politikom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03EC67C2" w14:textId="3DC3B54E" w:rsidR="00987A86" w:rsidRPr="007D7D11" w:rsidRDefault="007D7D11" w:rsidP="005F283F">
            <w:pPr>
              <w:pStyle w:val="ListParagraph"/>
              <w:autoSpaceDE w:val="0"/>
              <w:autoSpaceDN w:val="0"/>
              <w:adjustRightInd w:val="0"/>
              <w:ind w:left="0"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slučaju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“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status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DA0F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qu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”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moglo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doći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usporavanja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implementacije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planiranih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projekata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značaja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rješavanje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kojima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suočavaju</w:t>
            </w:r>
            <w:r w:rsidR="00987A86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205F3F6B" w14:textId="77777777" w:rsidR="00973BEB" w:rsidRPr="007D7D11" w:rsidRDefault="00973BEB" w:rsidP="00987A8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191A3BCE" w14:textId="7E29B059" w:rsidR="00DF32CE" w:rsidRPr="007D7D11" w:rsidRDefault="00DF32CE" w:rsidP="00987A8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EF1D5B" w:rsidRPr="007D7D11" w14:paraId="71AA9FAE" w14:textId="77777777" w:rsidTr="000F05ED">
        <w:tc>
          <w:tcPr>
            <w:tcW w:w="9576" w:type="dxa"/>
            <w:gridSpan w:val="2"/>
            <w:shd w:val="clear" w:color="auto" w:fill="D2EAF1"/>
          </w:tcPr>
          <w:p w14:paraId="0CEAC745" w14:textId="00E82177" w:rsidR="00EF1D5B" w:rsidRPr="007D7D11" w:rsidRDefault="00EF1D5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2.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Ciljevi</w:t>
            </w:r>
          </w:p>
          <w:p w14:paraId="25EB49DB" w14:textId="4A52F258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postižu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predloženim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propisom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4E7D1B58" w14:textId="22B786F4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bilo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unapređuje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ravnopravnost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odgovor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može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>definisati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unapređuje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ravnopravnost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?)</w:t>
            </w:r>
          </w:p>
          <w:p w14:paraId="308ECF12" w14:textId="77777777" w:rsidR="00EF1D5B" w:rsidRPr="007D7D11" w:rsidRDefault="00EF1D5B" w:rsidP="000F05ED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63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EF1D5B" w:rsidRPr="00AA535E" w14:paraId="143C2096" w14:textId="77777777" w:rsidTr="000F05ED">
        <w:tc>
          <w:tcPr>
            <w:tcW w:w="9576" w:type="dxa"/>
            <w:gridSpan w:val="2"/>
          </w:tcPr>
          <w:p w14:paraId="39BCD49E" w14:textId="732B09AA" w:rsidR="00EF1D5B" w:rsidRPr="007D7D11" w:rsidRDefault="00EF1D5B" w:rsidP="00B354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 xml:space="preserve">      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Predloženim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propisom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postižu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sljedeći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ciljevi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: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kvalitetno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,,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pravovremeno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efikasno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praćenje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lokalne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omladinske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politike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strane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Sekretarijata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kulturu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sport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socijalno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staranje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kontinuiran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poboljšanju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uslova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života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Nikšiću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koordinisan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mladima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314FD007" w14:textId="1954A7AF" w:rsidR="00F35992" w:rsidRPr="007D7D11" w:rsidRDefault="007D7D11" w:rsidP="00E93D03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Takođe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postižu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operativni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ciljevi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definisani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Strategijom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2023-2027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koja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definiše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rodnu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ravnopravnost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kao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horizontalnu</w:t>
            </w:r>
            <w:r w:rsidR="00DF32CE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temu</w:t>
            </w:r>
            <w:r w:rsidR="00E93D03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</w:p>
          <w:p w14:paraId="71F496D2" w14:textId="23381239" w:rsidR="00E93D03" w:rsidRPr="007D7D11" w:rsidRDefault="007D7D11" w:rsidP="00E93D03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Sve</w:t>
            </w:r>
            <w:r w:rsidR="00E93D03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E93D03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uključuju</w:t>
            </w:r>
            <w:r w:rsidR="00E93D03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E93D03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F359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F359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svi</w:t>
            </w:r>
            <w:r w:rsidR="00F359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ciljevi</w:t>
            </w:r>
            <w:r w:rsidR="00F359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F359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usmjereni</w:t>
            </w:r>
            <w:r w:rsidR="00F359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F359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F359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unapređenje</w:t>
            </w:r>
            <w:r w:rsidR="00F359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rodne</w:t>
            </w:r>
            <w:r w:rsidR="00F359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ravnopravnosti</w:t>
            </w:r>
            <w:r w:rsidR="00F359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4EDD20B2" w14:textId="3920A3BF" w:rsidR="00EF1D5B" w:rsidRPr="007D7D11" w:rsidRDefault="00E93D03" w:rsidP="008C44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        </w:t>
            </w:r>
          </w:p>
        </w:tc>
      </w:tr>
      <w:tr w:rsidR="00EF1D5B" w:rsidRPr="00AA535E" w14:paraId="75EB2EDC" w14:textId="77777777" w:rsidTr="000F05ED">
        <w:tc>
          <w:tcPr>
            <w:tcW w:w="9576" w:type="dxa"/>
            <w:gridSpan w:val="2"/>
            <w:shd w:val="clear" w:color="auto" w:fill="D2EAF1"/>
          </w:tcPr>
          <w:p w14:paraId="61BADEC0" w14:textId="472785A9" w:rsidR="00EF1D5B" w:rsidRPr="007D7D11" w:rsidRDefault="00EF1D5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3.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Opcije</w:t>
            </w:r>
          </w:p>
          <w:p w14:paraId="644E9ED6" w14:textId="5BAACE4C" w:rsidR="00DF32CE" w:rsidRPr="007D7D11" w:rsidRDefault="007D7D11" w:rsidP="00DF32C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Zašto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neophodan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? </w:t>
            </w:r>
          </w:p>
          <w:p w14:paraId="590057CC" w14:textId="4C18EF6D" w:rsidR="00EF1D5B" w:rsidRPr="007D7D11" w:rsidRDefault="00EF1D5B" w:rsidP="00DF32C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moguće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opcije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ispunjavanje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ciljeva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rješavanje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 (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uvijek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treba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razmatrati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“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status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q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uo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”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opciju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preporučljivo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uključiti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neregulatornu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opciju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osim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ako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postoji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obaveza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donošenja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predloženog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).</w:t>
            </w:r>
          </w:p>
          <w:p w14:paraId="7D350419" w14:textId="42A00C07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Obrazložiti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preferiranu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dimenzija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;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kako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preferirana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unapređuje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ravnopravnost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: 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status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među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ženama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muškarcima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?)</w:t>
            </w:r>
          </w:p>
        </w:tc>
      </w:tr>
      <w:tr w:rsidR="00EF1D5B" w:rsidRPr="007D7D11" w14:paraId="7A1CF04E" w14:textId="77777777" w:rsidTr="000F05ED">
        <w:tc>
          <w:tcPr>
            <w:tcW w:w="9576" w:type="dxa"/>
            <w:gridSpan w:val="2"/>
          </w:tcPr>
          <w:p w14:paraId="5A71B0D2" w14:textId="77777777" w:rsidR="003C4D88" w:rsidRPr="007D7D11" w:rsidRDefault="003C4D88" w:rsidP="00B3542B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56994EB7" w14:textId="13811EFF" w:rsidR="00EF1D5B" w:rsidRPr="007D7D11" w:rsidRDefault="007D7D11" w:rsidP="00B3542B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ovom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slučaju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postoji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zakonska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obaveza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Lokalnog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akcionog</w:t>
            </w:r>
            <w:r w:rsidR="00223223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plana</w:t>
            </w:r>
            <w:r w:rsidR="00223223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223223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223223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shodno</w:t>
            </w:r>
            <w:r w:rsidR="00223223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Zakonu</w:t>
            </w:r>
            <w:r w:rsidR="00223223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223223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mladima</w:t>
            </w:r>
            <w:r w:rsidR="00223223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 w:rsidR="00DA0F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„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Službeni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list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</w:t>
            </w:r>
            <w:r w:rsidR="00DA0F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Gore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”,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broj</w:t>
            </w:r>
            <w:r w:rsidR="00223223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br. 25/19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223223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27/19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).</w:t>
            </w:r>
            <w:r w:rsidR="00223223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</w:p>
          <w:p w14:paraId="47D05A93" w14:textId="4AF28FCB" w:rsidR="00223223" w:rsidRPr="007D7D11" w:rsidRDefault="005E5037" w:rsidP="00B3542B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Lokalni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akcioni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202</w:t>
            </w:r>
            <w:r w:rsidR="00CA558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5-2026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godinu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donosi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skladu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Strategijom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Gore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2023-2027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prati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CA558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definisana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četiri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operativna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cilja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4F849FE2" w14:textId="350C85D4" w:rsidR="005E5037" w:rsidRPr="007D7D11" w:rsidRDefault="007D7D11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ispunjavanje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rješavanje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: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konstantna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efektivna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komunikacija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između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subjekata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omladinske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politike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kao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između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institucija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lokalne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samouprave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mladih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;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efikasno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pravovremeno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kvalitetno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kreiranje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sprovođenje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omladinske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politike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;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planiranih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projekata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5E503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477848D7" w14:textId="5CF843AC" w:rsidR="00B61692" w:rsidRPr="007D7D11" w:rsidRDefault="007D7D11" w:rsidP="00B61692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svakom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segmentu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kreiranja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implementacije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neposredno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posredno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može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djelovati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unapređenje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dimenzije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omladinske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politike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Horizontalna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tema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Strategije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2023-2027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jeste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rodna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ravnopravnost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="00CA5584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dok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pojedine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planirane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diretkno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tretiraju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pitanje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rodne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ravnopravnosti</w:t>
            </w:r>
            <w:r w:rsidR="00B616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53D0536A" w14:textId="77777777" w:rsidR="00EF1D5B" w:rsidRPr="007D7D11" w:rsidRDefault="00EF1D5B" w:rsidP="003C4D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EF1D5B" w:rsidRPr="007D7D11" w14:paraId="6A179150" w14:textId="77777777" w:rsidTr="000F05ED">
        <w:tc>
          <w:tcPr>
            <w:tcW w:w="9576" w:type="dxa"/>
            <w:gridSpan w:val="2"/>
            <w:shd w:val="clear" w:color="auto" w:fill="D2EAF1"/>
          </w:tcPr>
          <w:p w14:paraId="433BE8A1" w14:textId="49268757" w:rsidR="00EF1D5B" w:rsidRPr="007D7D11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4.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Analiza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uticaja</w:t>
            </w:r>
          </w:p>
          <w:p w14:paraId="6C5851E9" w14:textId="250F4FDE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koga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kako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najvjerovatnije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rješenja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-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nabrojati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pozitivne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negativne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direktne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indirektne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?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rješenja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imaju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pozitivne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negativne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direktne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indirektne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?)</w:t>
            </w:r>
          </w:p>
          <w:p w14:paraId="134B474A" w14:textId="242E7DFD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troškove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uštede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primjena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izazvati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građanima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privredi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naročito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malim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srednjim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preduzećima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)?</w:t>
            </w:r>
          </w:p>
          <w:p w14:paraId="49FAAE3C" w14:textId="0876A6C0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pozitivne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posljedice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opravdavaju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troškove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on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stvoriti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30FB1129" w14:textId="0B7AC2D4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propisom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podržava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stvaranje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novih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privrednih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subjekata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tržištu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tržišna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konkurencija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2ACE11CF" w14:textId="6FAF94B0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Uključiti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procjenu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administrativnih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opterećenja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biznis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barijera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3E8E09B7" w14:textId="77777777" w:rsidR="00EF1D5B" w:rsidRPr="007D7D11" w:rsidRDefault="00EF1D5B" w:rsidP="000F05ED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EF1D5B" w:rsidRPr="00AA535E" w14:paraId="5968669A" w14:textId="77777777" w:rsidTr="000F05ED">
        <w:tc>
          <w:tcPr>
            <w:tcW w:w="9576" w:type="dxa"/>
            <w:gridSpan w:val="2"/>
          </w:tcPr>
          <w:p w14:paraId="0A9867AE" w14:textId="77777777" w:rsidR="004A15E1" w:rsidRPr="007D7D11" w:rsidRDefault="004A15E1" w:rsidP="00CA55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6A184A4E" w14:textId="3B49081C" w:rsidR="004A15E1" w:rsidRPr="007D7D11" w:rsidRDefault="007D7D11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Lokalni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akcioni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najviše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uticati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Nikšiću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kako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kroz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realizaciju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strane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institucija</w:t>
            </w:r>
            <w:r w:rsidR="00F359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nevladinih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organizacija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obrazovnih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ustanova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tako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kroz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uključivanje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mladih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sve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društvene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tokove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realizaciju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definisanih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dokumentu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Indirektno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uticati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širu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zajednicu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jer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osnovni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donošenja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plana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upravo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poboljšanje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uslova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života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Nikšiću</w:t>
            </w:r>
            <w:r w:rsidR="004A15E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  <w:r w:rsidR="004C502D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Rješenja</w:t>
            </w:r>
            <w:r w:rsidR="004C502D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4C502D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propisu</w:t>
            </w:r>
            <w:r w:rsidR="004C502D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direktno</w:t>
            </w:r>
            <w:r w:rsidR="004C502D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utiču</w:t>
            </w:r>
            <w:r w:rsidR="004C502D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C502D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4C502D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položaj</w:t>
            </w:r>
            <w:r w:rsidR="004C502D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žena</w:t>
            </w:r>
            <w:r w:rsidR="004C502D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065B9183" w14:textId="0FFA9496" w:rsidR="00EF1D5B" w:rsidRPr="007D7D11" w:rsidRDefault="00C12BE0" w:rsidP="004C50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     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Takođe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rješenja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utiču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pozitivno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organe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uprave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institucije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organizacije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bave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omladinskom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politikom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zbog</w:t>
            </w:r>
            <w:r w:rsidR="00F3599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strateškog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sitematizovanog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pristupa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kreiranju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implementaciji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omladinske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politike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2125AE24" w14:textId="4D3EF381" w:rsidR="00C12BE0" w:rsidRPr="007D7D11" w:rsidRDefault="007D7D11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Primjena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izaziva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troškove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uštede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građanima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privredi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4CAC1419" w14:textId="1EF7C077" w:rsidR="00C12BE0" w:rsidRPr="007D7D11" w:rsidRDefault="007D7D11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Ovim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propisom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podržava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stvaranje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novih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privrednih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subjekata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tržištu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tržišna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konkurencija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ali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dio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odnosi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jačanje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kompetencija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mladih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njihovo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uključivanje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aktivne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politike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zapošljavanja</w:t>
            </w:r>
            <w:r w:rsidR="00C97DB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kao i unapređenje znanja iz oblasti preduzetništva</w:t>
            </w:r>
            <w:r w:rsidR="00C12BE0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  <w:r w:rsidR="00924D63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</w:p>
          <w:p w14:paraId="0C1E582B" w14:textId="77777777" w:rsidR="00EF1D5B" w:rsidRPr="007D7D11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03291071" w14:textId="77777777" w:rsidR="00EF1D5B" w:rsidRPr="007D7D11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EF1D5B" w:rsidRPr="007D7D11" w14:paraId="0B00E6C4" w14:textId="77777777" w:rsidTr="000F05ED">
        <w:tc>
          <w:tcPr>
            <w:tcW w:w="9576" w:type="dxa"/>
            <w:gridSpan w:val="2"/>
            <w:shd w:val="clear" w:color="auto" w:fill="D2EAF1"/>
          </w:tcPr>
          <w:p w14:paraId="15350F4D" w14:textId="7E44A7D6" w:rsidR="00EF1D5B" w:rsidRPr="007D7D11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 xml:space="preserve">5.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Procjena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fiskalnog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uticaja</w:t>
            </w:r>
          </w:p>
          <w:p w14:paraId="2F98A908" w14:textId="77777777" w:rsidR="003C4D88" w:rsidRPr="007D7D11" w:rsidRDefault="003C4D8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0E996A41" w14:textId="7746EDB1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utiče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visinu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prihoda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troškova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2E8E0AFE" w14:textId="7A51B112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potrebno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obezbjeđenje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finansijskih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sredstava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lokalnih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Gore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iznosu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1A4881C6" w14:textId="4F926E80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obezbjeđenje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finansijskih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sredstava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jednokratno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tokom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određenog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vremenskog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perioda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? 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Obrazložiti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6AA7580D" w14:textId="58056105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neophodna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finansijska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sredstva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obezbijeđena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lokalnih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Gore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tekuću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fiskalnu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godinu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planirana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narednu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fiskalnu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godinu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30E9E3BC" w14:textId="66422853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implementacijom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ostvariti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prihod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Gore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17D26430" w14:textId="76CB0FE3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potencijalni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korisnik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procentu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korisnici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mogli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muškarci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?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može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uzrok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neravnopravnosti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između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muškaraca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?)</w:t>
            </w:r>
          </w:p>
          <w:p w14:paraId="7D5A4473" w14:textId="77777777" w:rsidR="00EF1D5B" w:rsidRPr="007D7D11" w:rsidRDefault="00EF1D5B" w:rsidP="005B7420">
            <w:pPr>
              <w:pStyle w:val="ListParagraph"/>
              <w:ind w:left="63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EF1D5B" w:rsidRPr="00AA535E" w14:paraId="42BE1026" w14:textId="77777777" w:rsidTr="000F05ED">
        <w:tc>
          <w:tcPr>
            <w:tcW w:w="9576" w:type="dxa"/>
            <w:gridSpan w:val="2"/>
          </w:tcPr>
          <w:p w14:paraId="3CA1B1C3" w14:textId="77777777" w:rsidR="003C4D88" w:rsidRPr="007D7D11" w:rsidRDefault="003C4D88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222D6766" w14:textId="22B9A01B" w:rsidR="00EF1D5B" w:rsidRPr="007D7D11" w:rsidRDefault="007D7D11" w:rsidP="0091493A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Lokalni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akcioni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plan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mlade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C03D3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202</w:t>
            </w:r>
            <w:r w:rsidR="00C97DB0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5-2026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godinu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utiče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visinu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prihoda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lokalne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samouprave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Što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se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tiče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troškova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Budžetom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Opštine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Nikšić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planirana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su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sredstva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realizaciju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ciljeva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lokalnog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akcionog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plana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mlade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.</w:t>
            </w:r>
          </w:p>
          <w:p w14:paraId="42E47A90" w14:textId="164FA468" w:rsidR="00EF1D5B" w:rsidRPr="007D7D11" w:rsidRDefault="00EF1D5B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</w:pPr>
            <w:r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Obezbjeđena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su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finansijska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sredstava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iz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budžeta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lokalne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samouprave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,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dok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se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dio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sredstava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može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obezbijediti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putem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finansiranja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od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strane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nacionalnih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ili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međunarodnih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donatora</w:t>
            </w:r>
            <w:r w:rsidR="00C11751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.</w:t>
            </w:r>
          </w:p>
          <w:p w14:paraId="523EBD3B" w14:textId="586FB2BB" w:rsidR="00EF1D5B" w:rsidRPr="007D7D11" w:rsidRDefault="007D7D1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Budžetom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Opštine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Nikšić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202</w:t>
            </w:r>
            <w:r w:rsidR="00C97DB0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5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godinu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obezbijeđena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finansijska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sredstva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implementaciju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Lokalnog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acionog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plana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mlade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202</w:t>
            </w:r>
            <w:r w:rsidR="00C97DB0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5-2026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godinu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odnosno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implementaciju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planiranih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aktivnosti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projekata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kroz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više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stavki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).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Takođe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sredstva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su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planirana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202</w:t>
            </w:r>
            <w:r w:rsidR="00C97DB0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4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godinu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.</w:t>
            </w:r>
          </w:p>
          <w:p w14:paraId="673A0C17" w14:textId="565A8536" w:rsidR="0038078B" w:rsidRPr="007D7D11" w:rsidRDefault="007D7D1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Implementacijom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propisa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se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ne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ostvaruje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prihod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lokalnu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samoupravu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.</w:t>
            </w:r>
          </w:p>
          <w:p w14:paraId="275F521B" w14:textId="6B56DE84" w:rsidR="0038078B" w:rsidRPr="007D7D11" w:rsidRDefault="007D7D1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Potencijalni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korisnici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budžeta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implementaciju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Lokalnog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akcionog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plana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mlade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su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mladi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obrazovne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ustanove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institucije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nevladine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organizacije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.</w:t>
            </w:r>
          </w:p>
          <w:p w14:paraId="105514C3" w14:textId="3EDEED06" w:rsidR="00EF1D5B" w:rsidRPr="007D7D11" w:rsidRDefault="007D7D11" w:rsidP="0038078B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Implementacija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budžeta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ne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može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biti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uzrok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neravnopravnosti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između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muškaraca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žena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jer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će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se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u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realizaciju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ravnopravno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uključivati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muškarci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žene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.</w:t>
            </w:r>
          </w:p>
          <w:p w14:paraId="2B0A3C75" w14:textId="77777777" w:rsidR="00EF1D5B" w:rsidRPr="007D7D11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EF1D5B" w:rsidRPr="007D7D11" w14:paraId="1E29EA9E" w14:textId="77777777" w:rsidTr="000F05ED">
        <w:tc>
          <w:tcPr>
            <w:tcW w:w="9576" w:type="dxa"/>
            <w:gridSpan w:val="2"/>
            <w:shd w:val="clear" w:color="auto" w:fill="D2EAF1"/>
          </w:tcPr>
          <w:p w14:paraId="107E4BC3" w14:textId="021A3826" w:rsidR="00EF1D5B" w:rsidRPr="007D7D11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6.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Konsultacije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zainteresovanih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strana</w:t>
            </w:r>
          </w:p>
          <w:p w14:paraId="582D3607" w14:textId="77777777" w:rsidR="003C4D88" w:rsidRPr="007D7D11" w:rsidRDefault="003C4D8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597EA19A" w14:textId="7C4337BB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Naznačiti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korišćena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eksterna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ekspertska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podrška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kako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6A0A82D6" w14:textId="33FF03F4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Naznačiti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grupe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zainteresovanih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konsultovane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kojoj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fazi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RIA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procesa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kako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javne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ciljane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konsultacije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).</w:t>
            </w:r>
          </w:p>
          <w:p w14:paraId="304A292E" w14:textId="78BC04A9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predstavnice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ženskih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udruženja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ranjivih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grupa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bile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uključene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konsultacije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281A9098" w14:textId="5FA9F1CB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Naznačiti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glavne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rezultate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konsultacija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predlozi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sugestije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zainteresovanih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prihvaćeni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nijesu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prihvaćeni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Obrazložiti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</w:tc>
      </w:tr>
      <w:tr w:rsidR="00EF1D5B" w:rsidRPr="00AA535E" w14:paraId="7B6CD7A3" w14:textId="77777777" w:rsidTr="000F05ED">
        <w:tc>
          <w:tcPr>
            <w:tcW w:w="9576" w:type="dxa"/>
            <w:gridSpan w:val="2"/>
          </w:tcPr>
          <w:p w14:paraId="491A693E" w14:textId="77777777" w:rsidR="005B7420" w:rsidRPr="007D7D11" w:rsidRDefault="005B7420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1544520F" w14:textId="30AC48C8" w:rsidR="00EF1D5B" w:rsidRPr="007D7D11" w:rsidRDefault="007D7D1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Eksterna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ekspertska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podrška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korišćena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prilikom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izrade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Lokalnog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akcionog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plana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C03D3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202</w:t>
            </w:r>
            <w:r w:rsidR="00C97DB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5-2026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godinu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bila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neophodna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saglasnost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Ministarstva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sporta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mladih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usaglašenosti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38078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Strategijom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2023-202</w:t>
            </w:r>
            <w:r w:rsidR="00C97DB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7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790CB774" w14:textId="28F9BAA3" w:rsidR="00EF1D5B" w:rsidRPr="007D7D11" w:rsidRDefault="007D7D1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postupku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pripreme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Predloga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Lokalnog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akcionog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plana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C03D31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202</w:t>
            </w:r>
            <w:r w:rsidR="00C97DB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5-2026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godinu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Sekretarijat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kulturu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sport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socijalno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staranje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izvršio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konsultacije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predstavnicima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obrazovnih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ustanova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lokalnih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institucija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nevladinim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organizacijama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 w:rsidR="00C97DB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Za potrebe definisanja aktivnosti i analize stanja, urađeno je istraživanje putem kojeg je anketirano 392 mladih.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taj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način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prikupljeni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predlozi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obrađeni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konkretizovani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kroz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C97DB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ciljeve</w:t>
            </w:r>
            <w:r w:rsidR="00C97DB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na lokalnom nivou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Sve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prihvaćene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usklađene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operativnim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ciljevima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Strategije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9357EC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357EC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odražavaju</w:t>
            </w:r>
            <w:r w:rsidR="009357EC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stvarne</w:t>
            </w:r>
            <w:r w:rsidR="009357EC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potrebe</w:t>
            </w:r>
            <w:r w:rsidR="009357EC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shodno</w:t>
            </w:r>
            <w:r w:rsidR="009357EC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istraživanju</w:t>
            </w:r>
            <w:r w:rsidR="00C97DB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77E6CB35" w14:textId="2454FA2E" w:rsidR="00EF1D5B" w:rsidRPr="007D7D11" w:rsidRDefault="007D7D1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Predstavnici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ranjivih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grupa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uključeni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C97DB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proces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kreiranja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Lokalnog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plana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nevladine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organizacije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koje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se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bave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pitanjime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rodne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ravnopravnosti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problemima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osoba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sa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invaliditetom</w:t>
            </w:r>
            <w:r w:rsidR="009357EC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,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pripadnika</w:t>
            </w:r>
            <w:r w:rsidR="00F35992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RE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populacije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).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Isti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će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biti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uključeni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u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realizaciju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plana</w:t>
            </w:r>
            <w:r w:rsidR="00214EAA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. </w:t>
            </w:r>
          </w:p>
          <w:p w14:paraId="0778E0AB" w14:textId="716B3066" w:rsidR="00050721" w:rsidRPr="007D7D11" w:rsidRDefault="007D7D11" w:rsidP="009357EC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Tokom</w:t>
            </w:r>
            <w:r w:rsidR="009357EC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Javne</w:t>
            </w:r>
            <w:r w:rsidR="009357EC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rasprave</w:t>
            </w:r>
            <w:r w:rsidR="009357EC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predloga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sugestija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izradu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Lokalnog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akcionog</w:t>
            </w:r>
            <w:r w:rsidR="009357EC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plana</w:t>
            </w:r>
            <w:r w:rsidR="009357EC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9357EC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mlade</w:t>
            </w:r>
            <w:r w:rsidR="009357EC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za</w:t>
            </w:r>
            <w:r w:rsidR="009357EC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202</w:t>
            </w:r>
            <w:r w:rsidR="00C97DB0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5-2026</w:t>
            </w:r>
            <w:r w:rsidR="009357EC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godinu</w:t>
            </w:r>
            <w:r w:rsidR="00F35992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je</w:t>
            </w:r>
            <w:r w:rsidR="00F35992" w:rsidRPr="007D7D11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bilo</w:t>
            </w:r>
            <w:r w:rsidR="00C97DB0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a većina je prihvaćena jer su bili konkretni i usklađeni sa postojećim </w:t>
            </w:r>
            <w:r w:rsidR="00C97DB0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lastRenderedPageBreak/>
              <w:t xml:space="preserve">aktivnostima i postavljenim ciljevima. Dostavljene sugestije odnosile su se uglavnom na participaciju mladih </w:t>
            </w:r>
            <w:r w:rsidR="008F0EEE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>i realizaciju projekta sa ciljem uvođenja novih mehanizama učešća.</w:t>
            </w:r>
            <w:r w:rsidR="00C97DB0">
              <w:rPr>
                <w:rFonts w:ascii="Arial" w:hAnsi="Arial" w:cs="Arial"/>
                <w:b/>
                <w:bCs w:val="0"/>
                <w:noProof/>
                <w:color w:val="17365D" w:themeColor="text2" w:themeShade="BF"/>
                <w:sz w:val="20"/>
                <w:szCs w:val="20"/>
                <w:lang w:val="sr-Latn-CS"/>
              </w:rPr>
              <w:t xml:space="preserve"> </w:t>
            </w:r>
          </w:p>
          <w:p w14:paraId="434FADAD" w14:textId="77777777" w:rsidR="00050721" w:rsidRPr="007D7D11" w:rsidRDefault="00050721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62C6B078" w14:textId="77777777" w:rsidR="00050721" w:rsidRPr="007D7D11" w:rsidRDefault="00050721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EF1D5B" w:rsidRPr="007D7D11" w14:paraId="7BDABCFC" w14:textId="77777777" w:rsidTr="000F05ED">
        <w:tc>
          <w:tcPr>
            <w:tcW w:w="9576" w:type="dxa"/>
            <w:gridSpan w:val="2"/>
            <w:shd w:val="clear" w:color="auto" w:fill="D2EAF1"/>
          </w:tcPr>
          <w:p w14:paraId="19998593" w14:textId="1BA8920C" w:rsidR="00EF1D5B" w:rsidRPr="007D7D11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 xml:space="preserve">7.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Monitoring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evaluacija</w:t>
            </w:r>
          </w:p>
          <w:p w14:paraId="31A60789" w14:textId="77777777" w:rsidR="003C4D88" w:rsidRPr="007D7D11" w:rsidRDefault="003C4D88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497BCFE9" w14:textId="4F076E22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potencijalne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prepreke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? </w:t>
            </w:r>
          </w:p>
          <w:p w14:paraId="2DE3FFE0" w14:textId="7BFA3196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glavni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indikatori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prema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kojima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mjeriti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ispunjenje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14:paraId="1EDC133D" w14:textId="4775A116" w:rsidR="00EF1D5B" w:rsidRPr="007D7D11" w:rsidRDefault="007D7D11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zadužen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sprovođenje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monitoringa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evaluacije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primjene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</w:tc>
      </w:tr>
      <w:tr w:rsidR="00EF1D5B" w:rsidRPr="00AA535E" w14:paraId="7CDD4177" w14:textId="77777777" w:rsidTr="000F05ED">
        <w:tc>
          <w:tcPr>
            <w:tcW w:w="9576" w:type="dxa"/>
            <w:gridSpan w:val="2"/>
          </w:tcPr>
          <w:p w14:paraId="119107BC" w14:textId="77777777" w:rsidR="00EF1D5B" w:rsidRPr="007D7D11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3DCE5444" w14:textId="05A34F77" w:rsidR="001F2927" w:rsidRPr="007D7D11" w:rsidRDefault="007D7D1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Potencijalnu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prepreku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Lokalnog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akcionog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plana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8F0EEE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može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predstavljati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nemotivisanost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nizak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stepen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uključenosti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relevantnih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aktera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implementaciju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aktivnosti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kao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nedostatak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sredstava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108A8D2D" w14:textId="0674305E" w:rsidR="001F2927" w:rsidRPr="007D7D11" w:rsidRDefault="007D7D1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ispunili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tokom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primjene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ostvarivati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saradnja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svim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relevantnim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institucijama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organizacijama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vršiće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redovne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konsultacije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 w:rsidR="001F2927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     </w:t>
            </w:r>
          </w:p>
          <w:p w14:paraId="404D3AA5" w14:textId="276DBB5F" w:rsidR="00C11112" w:rsidRPr="007D7D11" w:rsidRDefault="007D7D1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svaku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pojedinačnu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aktivnost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koja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planirana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definisani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indikatori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osnovu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njih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mjeriće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ispunjenje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ciljeva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Ovi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indikatori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dati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samom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propisu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biće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praćeni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tokom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implemntacije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Plana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1CAB04A8" w14:textId="5C4F8874" w:rsidR="00EF1D5B" w:rsidRPr="007D7D11" w:rsidRDefault="007D7D11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sprovođenje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monitoringa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evaluacije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primjene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Lokalnog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akcionog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plana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biće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zadužen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Sekretarijat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kulturu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sport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socijalno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staranje</w:t>
            </w:r>
            <w:r w:rsidR="00EF1D5B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Shodno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Zakonu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mladima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sačiniće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Izvještaj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realizaciji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LAP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0141D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svaku godinu pojedinačno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dostaviti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Ministarstvu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sporta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mladih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15.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februara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0141D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naredne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godine</w:t>
            </w:r>
            <w:r w:rsidR="00C11112" w:rsidRPr="007D7D11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14:paraId="67DE65F7" w14:textId="77777777" w:rsidR="00EF1D5B" w:rsidRPr="007D7D11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14:paraId="59FA92C4" w14:textId="77777777" w:rsidR="00EF1D5B" w:rsidRPr="007D7D11" w:rsidRDefault="00EF1D5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</w:tbl>
    <w:p w14:paraId="4F257162" w14:textId="77777777" w:rsidR="00EF1D5B" w:rsidRPr="007D7D11" w:rsidRDefault="00EF1D5B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noProof/>
          <w:sz w:val="20"/>
          <w:szCs w:val="20"/>
          <w:lang w:val="sr-Latn-CS"/>
        </w:rPr>
      </w:pPr>
    </w:p>
    <w:p w14:paraId="6A7B9FE1" w14:textId="77777777" w:rsidR="00EF1D5B" w:rsidRPr="007D7D11" w:rsidRDefault="00EF1D5B">
      <w:pPr>
        <w:rPr>
          <w:rFonts w:ascii="Arial" w:hAnsi="Arial" w:cs="Arial"/>
          <w:b/>
          <w:noProof/>
          <w:lang w:val="sr-Latn-CS"/>
        </w:rPr>
      </w:pPr>
    </w:p>
    <w:p w14:paraId="23B16E6E" w14:textId="77777777" w:rsidR="00A25B34" w:rsidRPr="007D7D11" w:rsidRDefault="00A25B34">
      <w:pPr>
        <w:rPr>
          <w:rFonts w:ascii="Arial" w:hAnsi="Arial" w:cs="Arial"/>
          <w:b/>
          <w:noProof/>
          <w:lang w:val="sr-Latn-CS"/>
        </w:rPr>
      </w:pPr>
    </w:p>
    <w:p w14:paraId="68E636D1" w14:textId="5D58D7C7" w:rsidR="00EF1D5B" w:rsidRPr="007D7D11" w:rsidRDefault="007D7D11">
      <w:pPr>
        <w:rPr>
          <w:rFonts w:ascii="Arial" w:hAnsi="Arial" w:cs="Arial"/>
          <w:b/>
          <w:noProof/>
          <w:color w:val="17365D"/>
          <w:lang w:val="sr-Latn-CS"/>
        </w:rPr>
      </w:pPr>
      <w:r>
        <w:rPr>
          <w:rFonts w:ascii="Arial" w:hAnsi="Arial" w:cs="Arial"/>
          <w:b/>
          <w:noProof/>
          <w:color w:val="17365D"/>
          <w:lang w:val="sr-Latn-CS"/>
        </w:rPr>
        <w:t>Datum</w:t>
      </w:r>
      <w:r w:rsidR="001F1799" w:rsidRPr="007D7D11">
        <w:rPr>
          <w:rFonts w:ascii="Arial" w:hAnsi="Arial" w:cs="Arial"/>
          <w:b/>
          <w:noProof/>
          <w:color w:val="17365D"/>
          <w:lang w:val="sr-Latn-CS"/>
        </w:rPr>
        <w:t xml:space="preserve"> </w:t>
      </w:r>
      <w:r>
        <w:rPr>
          <w:rFonts w:ascii="Arial" w:hAnsi="Arial" w:cs="Arial"/>
          <w:b/>
          <w:noProof/>
          <w:color w:val="17365D"/>
          <w:lang w:val="sr-Latn-CS"/>
        </w:rPr>
        <w:t>i</w:t>
      </w:r>
      <w:r w:rsidR="001F1799" w:rsidRPr="007D7D11">
        <w:rPr>
          <w:rFonts w:ascii="Arial" w:hAnsi="Arial" w:cs="Arial"/>
          <w:b/>
          <w:noProof/>
          <w:color w:val="17365D"/>
          <w:lang w:val="sr-Latn-CS"/>
        </w:rPr>
        <w:t xml:space="preserve"> </w:t>
      </w:r>
      <w:r>
        <w:rPr>
          <w:rFonts w:ascii="Arial" w:hAnsi="Arial" w:cs="Arial"/>
          <w:b/>
          <w:noProof/>
          <w:color w:val="17365D"/>
          <w:lang w:val="sr-Latn-CS"/>
        </w:rPr>
        <w:t>mjesto</w:t>
      </w:r>
      <w:r w:rsidR="00EF1D5B" w:rsidRPr="007D7D11">
        <w:rPr>
          <w:rFonts w:ascii="Arial" w:hAnsi="Arial" w:cs="Arial"/>
          <w:b/>
          <w:noProof/>
          <w:color w:val="17365D"/>
          <w:lang w:val="sr-Latn-CS"/>
        </w:rPr>
        <w:tab/>
      </w:r>
      <w:r w:rsidR="00EF1D5B" w:rsidRPr="007D7D11">
        <w:rPr>
          <w:rFonts w:ascii="Arial" w:hAnsi="Arial" w:cs="Arial"/>
          <w:b/>
          <w:noProof/>
          <w:color w:val="17365D"/>
          <w:lang w:val="sr-Latn-CS"/>
        </w:rPr>
        <w:tab/>
      </w:r>
      <w:r w:rsidR="00EF1D5B" w:rsidRPr="007D7D11">
        <w:rPr>
          <w:rFonts w:ascii="Arial" w:hAnsi="Arial" w:cs="Arial"/>
          <w:b/>
          <w:noProof/>
          <w:color w:val="17365D"/>
          <w:lang w:val="sr-Latn-CS"/>
        </w:rPr>
        <w:tab/>
      </w:r>
      <w:r w:rsidR="00EF1D5B" w:rsidRPr="007D7D11">
        <w:rPr>
          <w:rFonts w:ascii="Arial" w:hAnsi="Arial" w:cs="Arial"/>
          <w:b/>
          <w:noProof/>
          <w:color w:val="17365D"/>
          <w:lang w:val="sr-Latn-CS"/>
        </w:rPr>
        <w:tab/>
      </w:r>
      <w:r w:rsidR="00EF1D5B" w:rsidRPr="007D7D11">
        <w:rPr>
          <w:rFonts w:ascii="Arial" w:hAnsi="Arial" w:cs="Arial"/>
          <w:b/>
          <w:noProof/>
          <w:color w:val="17365D"/>
          <w:lang w:val="sr-Latn-CS"/>
        </w:rPr>
        <w:tab/>
      </w:r>
      <w:r w:rsidR="00EF1D5B" w:rsidRPr="007D7D11">
        <w:rPr>
          <w:rFonts w:ascii="Arial" w:hAnsi="Arial" w:cs="Arial"/>
          <w:b/>
          <w:noProof/>
          <w:color w:val="17365D"/>
          <w:lang w:val="sr-Latn-CS"/>
        </w:rPr>
        <w:tab/>
        <w:t xml:space="preserve">   </w:t>
      </w:r>
      <w:r w:rsidR="001F1799" w:rsidRPr="007D7D11">
        <w:rPr>
          <w:rFonts w:ascii="Arial" w:hAnsi="Arial" w:cs="Arial"/>
          <w:b/>
          <w:noProof/>
          <w:color w:val="17365D"/>
          <w:lang w:val="sr-Latn-CS"/>
        </w:rPr>
        <w:t xml:space="preserve">  </w:t>
      </w:r>
      <w:r w:rsidR="00EF1D5B" w:rsidRPr="007D7D11">
        <w:rPr>
          <w:rFonts w:ascii="Arial" w:hAnsi="Arial" w:cs="Arial"/>
          <w:b/>
          <w:noProof/>
          <w:color w:val="17365D"/>
          <w:lang w:val="sr-Latn-CS"/>
        </w:rPr>
        <w:t xml:space="preserve">  </w:t>
      </w:r>
      <w:r w:rsidR="007713F0" w:rsidRPr="007D7D11">
        <w:rPr>
          <w:rFonts w:ascii="Arial" w:hAnsi="Arial" w:cs="Arial"/>
          <w:b/>
          <w:noProof/>
          <w:color w:val="17365D"/>
          <w:lang w:val="sr-Latn-CS"/>
        </w:rPr>
        <w:tab/>
        <w:t xml:space="preserve"> </w:t>
      </w:r>
      <w:r>
        <w:rPr>
          <w:rFonts w:ascii="Arial" w:hAnsi="Arial" w:cs="Arial"/>
          <w:b/>
          <w:noProof/>
          <w:color w:val="17365D"/>
          <w:lang w:val="sr-Latn-CS"/>
        </w:rPr>
        <w:t>STARJEŠINA</w:t>
      </w:r>
    </w:p>
    <w:p w14:paraId="62D1ED5B" w14:textId="1C747A1C" w:rsidR="00EF1D5B" w:rsidRPr="007D7D11" w:rsidRDefault="000141DD">
      <w:pPr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 xml:space="preserve">    </w:t>
      </w:r>
      <w:r w:rsidR="004B5098">
        <w:rPr>
          <w:rFonts w:ascii="Arial" w:hAnsi="Arial" w:cs="Arial"/>
          <w:noProof/>
          <w:lang w:val="sr-Latn-CS"/>
        </w:rPr>
        <w:t xml:space="preserve"> </w:t>
      </w:r>
    </w:p>
    <w:p w14:paraId="2A8B9872" w14:textId="2EE40696" w:rsidR="00EF1D5B" w:rsidRPr="007D7D11" w:rsidRDefault="007D7D11">
      <w:pPr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color w:val="17365D"/>
          <w:lang w:val="sr-Latn-CS"/>
        </w:rPr>
        <w:t>Nikšić</w:t>
      </w:r>
      <w:r w:rsidR="00EF1D5B" w:rsidRPr="007D7D11">
        <w:rPr>
          <w:rFonts w:ascii="Arial" w:hAnsi="Arial" w:cs="Arial"/>
          <w:noProof/>
          <w:color w:val="17365D"/>
          <w:lang w:val="sr-Latn-CS"/>
        </w:rPr>
        <w:t xml:space="preserve">, </w:t>
      </w:r>
      <w:r w:rsidR="000141DD">
        <w:rPr>
          <w:rFonts w:ascii="Arial" w:hAnsi="Arial" w:cs="Arial"/>
          <w:noProof/>
          <w:color w:val="17365D"/>
          <w:lang w:val="sr-Latn-CS"/>
        </w:rPr>
        <w:t>04.</w:t>
      </w:r>
      <w:r w:rsidR="00857904" w:rsidRPr="007D7D11">
        <w:rPr>
          <w:rFonts w:ascii="Arial" w:hAnsi="Arial" w:cs="Arial"/>
          <w:noProof/>
          <w:color w:val="17365D"/>
          <w:lang w:val="sr-Latn-CS"/>
        </w:rPr>
        <w:t>.</w:t>
      </w:r>
      <w:r>
        <w:rPr>
          <w:rFonts w:ascii="Arial" w:hAnsi="Arial" w:cs="Arial"/>
          <w:noProof/>
          <w:color w:val="17365D"/>
          <w:lang w:val="sr-Latn-CS"/>
        </w:rPr>
        <w:t>decembar</w:t>
      </w:r>
      <w:r w:rsidR="00857904" w:rsidRPr="007D7D11">
        <w:rPr>
          <w:rFonts w:ascii="Arial" w:hAnsi="Arial" w:cs="Arial"/>
          <w:noProof/>
          <w:color w:val="17365D"/>
          <w:lang w:val="sr-Latn-CS"/>
        </w:rPr>
        <w:t xml:space="preserve"> 202</w:t>
      </w:r>
      <w:r w:rsidR="000141DD">
        <w:rPr>
          <w:rFonts w:ascii="Arial" w:hAnsi="Arial" w:cs="Arial"/>
          <w:noProof/>
          <w:color w:val="17365D"/>
          <w:lang w:val="sr-Latn-CS"/>
        </w:rPr>
        <w:t>4</w:t>
      </w:r>
      <w:r w:rsidR="00857904" w:rsidRPr="007D7D11">
        <w:rPr>
          <w:rFonts w:ascii="Arial" w:hAnsi="Arial" w:cs="Arial"/>
          <w:noProof/>
          <w:color w:val="17365D"/>
          <w:lang w:val="sr-Latn-CS"/>
        </w:rPr>
        <w:t xml:space="preserve">. </w:t>
      </w:r>
      <w:r>
        <w:rPr>
          <w:rFonts w:ascii="Arial" w:hAnsi="Arial" w:cs="Arial"/>
          <w:noProof/>
          <w:color w:val="17365D"/>
          <w:lang w:val="sr-Latn-CS"/>
        </w:rPr>
        <w:t>godine</w:t>
      </w:r>
      <w:r w:rsidR="001F2927" w:rsidRPr="007D7D11">
        <w:rPr>
          <w:rFonts w:ascii="Arial" w:hAnsi="Arial" w:cs="Arial"/>
          <w:noProof/>
          <w:color w:val="17365D"/>
          <w:lang w:val="sr-Latn-CS"/>
        </w:rPr>
        <w:t xml:space="preserve">                 </w:t>
      </w:r>
      <w:r w:rsidR="000141DD">
        <w:rPr>
          <w:rFonts w:ascii="Arial" w:hAnsi="Arial" w:cs="Arial"/>
          <w:noProof/>
          <w:color w:val="17365D"/>
          <w:lang w:val="sr-Latn-CS"/>
        </w:rPr>
        <w:t xml:space="preserve">    </w:t>
      </w:r>
      <w:r w:rsidR="00857904" w:rsidRPr="007D7D11">
        <w:rPr>
          <w:rFonts w:ascii="Arial" w:hAnsi="Arial" w:cs="Arial"/>
          <w:noProof/>
          <w:color w:val="17365D"/>
          <w:lang w:val="sr-Latn-CS"/>
        </w:rPr>
        <w:t xml:space="preserve">              </w:t>
      </w:r>
      <w:r w:rsidR="004B5098">
        <w:rPr>
          <w:rFonts w:ascii="Arial" w:hAnsi="Arial" w:cs="Arial"/>
          <w:noProof/>
          <w:color w:val="17365D"/>
          <w:lang w:val="sr-Latn-CS"/>
        </w:rPr>
        <w:t xml:space="preserve">    </w:t>
      </w:r>
      <w:r w:rsidR="000141DD">
        <w:rPr>
          <w:rFonts w:ascii="Arial" w:hAnsi="Arial" w:cs="Arial"/>
          <w:noProof/>
          <w:color w:val="17365D"/>
          <w:lang w:val="sr-Latn-CS"/>
        </w:rPr>
        <w:t xml:space="preserve">  </w:t>
      </w:r>
      <w:r w:rsidR="00857904" w:rsidRPr="007D7D11">
        <w:rPr>
          <w:rFonts w:ascii="Arial" w:hAnsi="Arial" w:cs="Arial"/>
          <w:noProof/>
          <w:color w:val="17365D"/>
          <w:lang w:val="sr-Latn-CS"/>
        </w:rPr>
        <w:t xml:space="preserve">  </w:t>
      </w:r>
      <w:r>
        <w:rPr>
          <w:rFonts w:ascii="Arial" w:hAnsi="Arial" w:cs="Arial"/>
          <w:noProof/>
          <w:color w:val="17365D"/>
          <w:lang w:val="sr-Latn-CS"/>
        </w:rPr>
        <w:t>Dejan</w:t>
      </w:r>
      <w:r w:rsidR="007713F0" w:rsidRPr="007D7D11">
        <w:rPr>
          <w:rFonts w:ascii="Arial" w:hAnsi="Arial" w:cs="Arial"/>
          <w:noProof/>
          <w:color w:val="17365D"/>
          <w:lang w:val="sr-Latn-CS"/>
        </w:rPr>
        <w:t xml:space="preserve"> </w:t>
      </w:r>
      <w:r>
        <w:rPr>
          <w:rFonts w:ascii="Arial" w:hAnsi="Arial" w:cs="Arial"/>
          <w:noProof/>
          <w:color w:val="17365D"/>
          <w:lang w:val="sr-Latn-CS"/>
        </w:rPr>
        <w:t>Ivanović</w:t>
      </w:r>
      <w:r w:rsidR="00AA535E">
        <w:rPr>
          <w:rFonts w:ascii="Arial" w:hAnsi="Arial" w:cs="Arial"/>
          <w:noProof/>
          <w:color w:val="17365D"/>
          <w:lang w:val="sr-Latn-CS"/>
        </w:rPr>
        <w:t>, s.r.</w:t>
      </w:r>
      <w:bookmarkStart w:id="0" w:name="_GoBack"/>
      <w:bookmarkEnd w:id="0"/>
      <w:r w:rsidR="00EF1D5B" w:rsidRPr="007D7D11">
        <w:rPr>
          <w:rFonts w:ascii="Arial" w:hAnsi="Arial" w:cs="Arial"/>
          <w:noProof/>
          <w:color w:val="17365D"/>
          <w:lang w:val="sr-Latn-CS"/>
        </w:rPr>
        <w:tab/>
      </w:r>
      <w:r w:rsidR="00EF1D5B" w:rsidRPr="007D7D11">
        <w:rPr>
          <w:rFonts w:ascii="Arial" w:hAnsi="Arial" w:cs="Arial"/>
          <w:noProof/>
          <w:color w:val="17365D"/>
          <w:lang w:val="sr-Latn-CS"/>
        </w:rPr>
        <w:tab/>
      </w:r>
      <w:r w:rsidR="00EF1D5B" w:rsidRPr="007D7D11">
        <w:rPr>
          <w:rFonts w:ascii="Arial" w:hAnsi="Arial" w:cs="Arial"/>
          <w:noProof/>
          <w:lang w:val="sr-Latn-CS"/>
        </w:rPr>
        <w:tab/>
      </w:r>
      <w:r w:rsidR="00EF1D5B" w:rsidRPr="007D7D11">
        <w:rPr>
          <w:rFonts w:ascii="Arial" w:hAnsi="Arial" w:cs="Arial"/>
          <w:noProof/>
          <w:lang w:val="sr-Latn-CS"/>
        </w:rPr>
        <w:tab/>
      </w:r>
      <w:r w:rsidR="00EF1D5B" w:rsidRPr="007D7D11">
        <w:rPr>
          <w:rFonts w:ascii="Arial" w:hAnsi="Arial" w:cs="Arial"/>
          <w:noProof/>
          <w:lang w:val="sr-Latn-CS"/>
        </w:rPr>
        <w:tab/>
      </w:r>
      <w:r w:rsidR="00EF1D5B" w:rsidRPr="007D7D11">
        <w:rPr>
          <w:rFonts w:ascii="Arial" w:hAnsi="Arial" w:cs="Arial"/>
          <w:noProof/>
          <w:lang w:val="sr-Latn-CS"/>
        </w:rPr>
        <w:tab/>
      </w:r>
      <w:r w:rsidR="00EF1D5B" w:rsidRPr="007D7D11">
        <w:rPr>
          <w:rFonts w:ascii="Arial" w:hAnsi="Arial" w:cs="Arial"/>
          <w:noProof/>
          <w:lang w:val="sr-Latn-CS"/>
        </w:rPr>
        <w:tab/>
      </w:r>
      <w:r w:rsidR="00EF1D5B" w:rsidRPr="007D7D11">
        <w:rPr>
          <w:rFonts w:ascii="Arial" w:hAnsi="Arial" w:cs="Arial"/>
          <w:noProof/>
          <w:lang w:val="sr-Latn-CS"/>
        </w:rPr>
        <w:tab/>
      </w:r>
    </w:p>
    <w:p w14:paraId="486425D4" w14:textId="77777777" w:rsidR="00EF1D5B" w:rsidRPr="007D7D11" w:rsidRDefault="00EF1D5B">
      <w:pPr>
        <w:rPr>
          <w:rFonts w:ascii="Arial" w:hAnsi="Arial" w:cs="Arial"/>
          <w:noProof/>
          <w:lang w:val="sr-Latn-CS"/>
        </w:rPr>
      </w:pPr>
    </w:p>
    <w:sectPr w:rsidR="00EF1D5B" w:rsidRPr="007D7D11" w:rsidSect="00322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A4634" w14:textId="77777777" w:rsidR="00DD6636" w:rsidRDefault="00DD6636" w:rsidP="00BA7396">
      <w:r>
        <w:separator/>
      </w:r>
    </w:p>
  </w:endnote>
  <w:endnote w:type="continuationSeparator" w:id="0">
    <w:p w14:paraId="53A2E337" w14:textId="77777777" w:rsidR="00DD6636" w:rsidRDefault="00DD6636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3D046" w14:textId="77777777" w:rsidR="005756F1" w:rsidRDefault="005756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7B225" w14:textId="77777777" w:rsidR="005756F1" w:rsidRDefault="005756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8F242" w14:textId="77777777" w:rsidR="005756F1" w:rsidRDefault="005756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BE94A" w14:textId="77777777" w:rsidR="00DD6636" w:rsidRDefault="00DD6636" w:rsidP="00BA7396">
      <w:r>
        <w:separator/>
      </w:r>
    </w:p>
  </w:footnote>
  <w:footnote w:type="continuationSeparator" w:id="0">
    <w:p w14:paraId="53AF8AD4" w14:textId="77777777" w:rsidR="00DD6636" w:rsidRDefault="00DD6636" w:rsidP="00BA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52D4A" w14:textId="77777777" w:rsidR="005756F1" w:rsidRDefault="005756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A26A4" w14:textId="77777777" w:rsidR="005756F1" w:rsidRDefault="005756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EF3ED" w14:textId="77777777" w:rsidR="005756F1" w:rsidRDefault="005756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A6223"/>
    <w:multiLevelType w:val="multilevel"/>
    <w:tmpl w:val="4B16083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D6F77"/>
    <w:multiLevelType w:val="multilevel"/>
    <w:tmpl w:val="4B1608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3A02868"/>
    <w:multiLevelType w:val="multilevel"/>
    <w:tmpl w:val="CC2E7A7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F5D2C"/>
    <w:multiLevelType w:val="multilevel"/>
    <w:tmpl w:val="68E220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2E3D0805"/>
    <w:multiLevelType w:val="multilevel"/>
    <w:tmpl w:val="A050B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A173F"/>
    <w:multiLevelType w:val="multilevel"/>
    <w:tmpl w:val="4B16083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1509B"/>
    <w:multiLevelType w:val="multilevel"/>
    <w:tmpl w:val="03C4C1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8"/>
  </w:num>
  <w:num w:numId="5">
    <w:abstractNumId w:val="4"/>
  </w:num>
  <w:num w:numId="6">
    <w:abstractNumId w:val="1"/>
  </w:num>
  <w:num w:numId="7">
    <w:abstractNumId w:val="11"/>
  </w:num>
  <w:num w:numId="8">
    <w:abstractNumId w:val="14"/>
  </w:num>
  <w:num w:numId="9">
    <w:abstractNumId w:val="21"/>
  </w:num>
  <w:num w:numId="10">
    <w:abstractNumId w:val="16"/>
  </w:num>
  <w:num w:numId="11">
    <w:abstractNumId w:val="5"/>
  </w:num>
  <w:num w:numId="12">
    <w:abstractNumId w:val="9"/>
  </w:num>
  <w:num w:numId="13">
    <w:abstractNumId w:val="15"/>
  </w:num>
  <w:num w:numId="14">
    <w:abstractNumId w:val="15"/>
  </w:num>
  <w:num w:numId="15">
    <w:abstractNumId w:val="8"/>
  </w:num>
  <w:num w:numId="16">
    <w:abstractNumId w:val="20"/>
  </w:num>
  <w:num w:numId="17">
    <w:abstractNumId w:val="13"/>
  </w:num>
  <w:num w:numId="18">
    <w:abstractNumId w:val="6"/>
  </w:num>
  <w:num w:numId="19">
    <w:abstractNumId w:val="2"/>
  </w:num>
  <w:num w:numId="20">
    <w:abstractNumId w:val="17"/>
  </w:num>
  <w:num w:numId="21">
    <w:abstractNumId w:val="1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141DD"/>
    <w:rsid w:val="00033473"/>
    <w:rsid w:val="00043CCD"/>
    <w:rsid w:val="00050721"/>
    <w:rsid w:val="000511F0"/>
    <w:rsid w:val="000562D6"/>
    <w:rsid w:val="000629D8"/>
    <w:rsid w:val="00067FCF"/>
    <w:rsid w:val="000716AC"/>
    <w:rsid w:val="00075306"/>
    <w:rsid w:val="000C38CF"/>
    <w:rsid w:val="000E5392"/>
    <w:rsid w:val="000E7E95"/>
    <w:rsid w:val="000E7FBD"/>
    <w:rsid w:val="000F05ED"/>
    <w:rsid w:val="00136E1D"/>
    <w:rsid w:val="00154647"/>
    <w:rsid w:val="00162BB1"/>
    <w:rsid w:val="001A6E4D"/>
    <w:rsid w:val="001C3BC4"/>
    <w:rsid w:val="001C7348"/>
    <w:rsid w:val="001D0BF0"/>
    <w:rsid w:val="001D26D2"/>
    <w:rsid w:val="001E1794"/>
    <w:rsid w:val="001E3E69"/>
    <w:rsid w:val="001F1799"/>
    <w:rsid w:val="001F2927"/>
    <w:rsid w:val="001F4328"/>
    <w:rsid w:val="001F74A2"/>
    <w:rsid w:val="002072BA"/>
    <w:rsid w:val="00214EAA"/>
    <w:rsid w:val="002226D5"/>
    <w:rsid w:val="00223223"/>
    <w:rsid w:val="002251D6"/>
    <w:rsid w:val="00235BF5"/>
    <w:rsid w:val="00241D12"/>
    <w:rsid w:val="00244B91"/>
    <w:rsid w:val="00267C7D"/>
    <w:rsid w:val="00267EE7"/>
    <w:rsid w:val="00282840"/>
    <w:rsid w:val="00284A91"/>
    <w:rsid w:val="00294662"/>
    <w:rsid w:val="00295023"/>
    <w:rsid w:val="002A6869"/>
    <w:rsid w:val="002D1A66"/>
    <w:rsid w:val="002E7569"/>
    <w:rsid w:val="00310915"/>
    <w:rsid w:val="00322389"/>
    <w:rsid w:val="00322DFF"/>
    <w:rsid w:val="00357476"/>
    <w:rsid w:val="00364F56"/>
    <w:rsid w:val="00365F7F"/>
    <w:rsid w:val="0038078B"/>
    <w:rsid w:val="003843F6"/>
    <w:rsid w:val="00392F99"/>
    <w:rsid w:val="00394567"/>
    <w:rsid w:val="00395587"/>
    <w:rsid w:val="003B5BF3"/>
    <w:rsid w:val="003C3F70"/>
    <w:rsid w:val="003C4D88"/>
    <w:rsid w:val="003E2C66"/>
    <w:rsid w:val="003E3E0B"/>
    <w:rsid w:val="003F334E"/>
    <w:rsid w:val="00461690"/>
    <w:rsid w:val="0047459A"/>
    <w:rsid w:val="00494A64"/>
    <w:rsid w:val="004A15E1"/>
    <w:rsid w:val="004A4396"/>
    <w:rsid w:val="004A5E43"/>
    <w:rsid w:val="004B5098"/>
    <w:rsid w:val="004B549B"/>
    <w:rsid w:val="004C1FDC"/>
    <w:rsid w:val="004C502D"/>
    <w:rsid w:val="004E1351"/>
    <w:rsid w:val="004F4F9C"/>
    <w:rsid w:val="00504237"/>
    <w:rsid w:val="0054756C"/>
    <w:rsid w:val="005756F1"/>
    <w:rsid w:val="005805F3"/>
    <w:rsid w:val="005B7420"/>
    <w:rsid w:val="005C4266"/>
    <w:rsid w:val="005D43E5"/>
    <w:rsid w:val="005E5037"/>
    <w:rsid w:val="005F00B7"/>
    <w:rsid w:val="005F03ED"/>
    <w:rsid w:val="005F283F"/>
    <w:rsid w:val="005F6D49"/>
    <w:rsid w:val="00601210"/>
    <w:rsid w:val="006129CD"/>
    <w:rsid w:val="00655AF0"/>
    <w:rsid w:val="00667956"/>
    <w:rsid w:val="006710AA"/>
    <w:rsid w:val="006729C3"/>
    <w:rsid w:val="00673F68"/>
    <w:rsid w:val="00681DE1"/>
    <w:rsid w:val="00692025"/>
    <w:rsid w:val="006A1B2C"/>
    <w:rsid w:val="006A3B25"/>
    <w:rsid w:val="006A3B76"/>
    <w:rsid w:val="006B4020"/>
    <w:rsid w:val="006C4F93"/>
    <w:rsid w:val="006E4E97"/>
    <w:rsid w:val="006F1605"/>
    <w:rsid w:val="00702CFF"/>
    <w:rsid w:val="007043B6"/>
    <w:rsid w:val="00705E35"/>
    <w:rsid w:val="00721692"/>
    <w:rsid w:val="00721DB9"/>
    <w:rsid w:val="00722885"/>
    <w:rsid w:val="00732071"/>
    <w:rsid w:val="00733149"/>
    <w:rsid w:val="00736E8D"/>
    <w:rsid w:val="00741A35"/>
    <w:rsid w:val="007546DB"/>
    <w:rsid w:val="00755724"/>
    <w:rsid w:val="00762C49"/>
    <w:rsid w:val="007713F0"/>
    <w:rsid w:val="007849D1"/>
    <w:rsid w:val="007A1C7D"/>
    <w:rsid w:val="007C12EB"/>
    <w:rsid w:val="007C585B"/>
    <w:rsid w:val="007D05DC"/>
    <w:rsid w:val="007D7D11"/>
    <w:rsid w:val="00806745"/>
    <w:rsid w:val="008169A7"/>
    <w:rsid w:val="008301C9"/>
    <w:rsid w:val="008322D4"/>
    <w:rsid w:val="00833765"/>
    <w:rsid w:val="0085327D"/>
    <w:rsid w:val="00857904"/>
    <w:rsid w:val="00867B03"/>
    <w:rsid w:val="00871235"/>
    <w:rsid w:val="008A2781"/>
    <w:rsid w:val="008B09E9"/>
    <w:rsid w:val="008C0535"/>
    <w:rsid w:val="008C4138"/>
    <w:rsid w:val="008C441E"/>
    <w:rsid w:val="008E4862"/>
    <w:rsid w:val="008E6C79"/>
    <w:rsid w:val="008F0EEE"/>
    <w:rsid w:val="008F47BD"/>
    <w:rsid w:val="0091493A"/>
    <w:rsid w:val="00924D63"/>
    <w:rsid w:val="009355D1"/>
    <w:rsid w:val="009357EC"/>
    <w:rsid w:val="009535C3"/>
    <w:rsid w:val="00960A46"/>
    <w:rsid w:val="00972845"/>
    <w:rsid w:val="00973BEB"/>
    <w:rsid w:val="00981466"/>
    <w:rsid w:val="00984C72"/>
    <w:rsid w:val="009874EB"/>
    <w:rsid w:val="00987A86"/>
    <w:rsid w:val="0099547B"/>
    <w:rsid w:val="009E11A4"/>
    <w:rsid w:val="00A07773"/>
    <w:rsid w:val="00A25B34"/>
    <w:rsid w:val="00A265F9"/>
    <w:rsid w:val="00A34E9B"/>
    <w:rsid w:val="00A71595"/>
    <w:rsid w:val="00A875F3"/>
    <w:rsid w:val="00A94790"/>
    <w:rsid w:val="00AA117E"/>
    <w:rsid w:val="00AA535E"/>
    <w:rsid w:val="00AC6578"/>
    <w:rsid w:val="00AD100C"/>
    <w:rsid w:val="00AF06EA"/>
    <w:rsid w:val="00AF2885"/>
    <w:rsid w:val="00B147B8"/>
    <w:rsid w:val="00B1537D"/>
    <w:rsid w:val="00B2646E"/>
    <w:rsid w:val="00B3542B"/>
    <w:rsid w:val="00B40AA1"/>
    <w:rsid w:val="00B535B4"/>
    <w:rsid w:val="00B61692"/>
    <w:rsid w:val="00B7089B"/>
    <w:rsid w:val="00B90368"/>
    <w:rsid w:val="00BA7396"/>
    <w:rsid w:val="00BA7877"/>
    <w:rsid w:val="00BD4282"/>
    <w:rsid w:val="00BE11B9"/>
    <w:rsid w:val="00C03D31"/>
    <w:rsid w:val="00C11112"/>
    <w:rsid w:val="00C111D8"/>
    <w:rsid w:val="00C11751"/>
    <w:rsid w:val="00C12BE0"/>
    <w:rsid w:val="00C179F9"/>
    <w:rsid w:val="00C450DD"/>
    <w:rsid w:val="00C5148C"/>
    <w:rsid w:val="00C549B4"/>
    <w:rsid w:val="00C66A02"/>
    <w:rsid w:val="00C72668"/>
    <w:rsid w:val="00C75DF0"/>
    <w:rsid w:val="00C773E3"/>
    <w:rsid w:val="00C87DA2"/>
    <w:rsid w:val="00C97DB0"/>
    <w:rsid w:val="00CA5584"/>
    <w:rsid w:val="00CB71B8"/>
    <w:rsid w:val="00CD7759"/>
    <w:rsid w:val="00D06D2A"/>
    <w:rsid w:val="00D1141F"/>
    <w:rsid w:val="00D13253"/>
    <w:rsid w:val="00D25692"/>
    <w:rsid w:val="00D2720B"/>
    <w:rsid w:val="00D27C82"/>
    <w:rsid w:val="00D36EDF"/>
    <w:rsid w:val="00D4308A"/>
    <w:rsid w:val="00D77412"/>
    <w:rsid w:val="00D87CB1"/>
    <w:rsid w:val="00DA0FAA"/>
    <w:rsid w:val="00DA0FD8"/>
    <w:rsid w:val="00DA645F"/>
    <w:rsid w:val="00DB1891"/>
    <w:rsid w:val="00DC5550"/>
    <w:rsid w:val="00DD6636"/>
    <w:rsid w:val="00DF32CE"/>
    <w:rsid w:val="00E3478E"/>
    <w:rsid w:val="00E61671"/>
    <w:rsid w:val="00E721E9"/>
    <w:rsid w:val="00E80201"/>
    <w:rsid w:val="00E93D03"/>
    <w:rsid w:val="00EA3400"/>
    <w:rsid w:val="00EC58BD"/>
    <w:rsid w:val="00ED0AF4"/>
    <w:rsid w:val="00ED0F74"/>
    <w:rsid w:val="00ED4766"/>
    <w:rsid w:val="00EF1D5B"/>
    <w:rsid w:val="00F14603"/>
    <w:rsid w:val="00F20105"/>
    <w:rsid w:val="00F35992"/>
    <w:rsid w:val="00F72683"/>
    <w:rsid w:val="00F7433F"/>
    <w:rsid w:val="00F76057"/>
    <w:rsid w:val="00F829CD"/>
    <w:rsid w:val="00FA6472"/>
    <w:rsid w:val="00FA76B0"/>
    <w:rsid w:val="00FB1B5F"/>
    <w:rsid w:val="00FB5EE2"/>
    <w:rsid w:val="00FB6BD5"/>
    <w:rsid w:val="00FB7CBA"/>
    <w:rsid w:val="00FC2A13"/>
    <w:rsid w:val="00FC6FDB"/>
    <w:rsid w:val="00FE033F"/>
    <w:rsid w:val="00FF0329"/>
    <w:rsid w:val="00FF1494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E7FDB0"/>
  <w15:docId w15:val="{59C96D3D-F778-4E50-89EF-04F8C2B0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A7396"/>
    <w:rPr>
      <w:rFonts w:ascii="Arial" w:hAnsi="Arial" w:cs="Arial"/>
      <w:b/>
      <w:bCs/>
      <w:iCs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BA7396"/>
    <w:rPr>
      <w:rFonts w:ascii="Arial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uiPriority w:val="99"/>
    <w:rsid w:val="005F03ED"/>
    <w:rPr>
      <w:rFonts w:ascii="Arial" w:hAnsi="Arial" w:cs="Arial"/>
      <w:vanish/>
      <w:sz w:val="18"/>
      <w:szCs w:val="18"/>
    </w:rPr>
  </w:style>
  <w:style w:type="table" w:styleId="LightGrid-Accent5">
    <w:name w:val="Light Grid Accent 5"/>
    <w:basedOn w:val="TableNormal"/>
    <w:uiPriority w:val="99"/>
    <w:rsid w:val="000511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7FCF"/>
    <w:rPr>
      <w:rFonts w:ascii="Tahoma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rsid w:val="001D0B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D0BF0"/>
    <w:rPr>
      <w:rFonts w:ascii="Garamond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1D0BF0"/>
    <w:rPr>
      <w:rFonts w:ascii="Garamond" w:hAnsi="Garamond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756F1"/>
    <w:rPr>
      <w:rFonts w:ascii="Garamond" w:eastAsia="Times New Roman" w:hAnsi="Garamond"/>
      <w:bCs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756F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756F1"/>
    <w:rPr>
      <w:rFonts w:ascii="Garamond" w:eastAsia="Times New Roman" w:hAnsi="Garamond"/>
      <w:bCs/>
      <w:sz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072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721"/>
    <w:rPr>
      <w:rFonts w:ascii="Garamond" w:eastAsia="Times New Roman" w:hAnsi="Garamond"/>
      <w:bCs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50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471A2-8A1A-4AF0-BF9B-9BAF728C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Microsoft account</cp:lastModifiedBy>
  <cp:revision>51</cp:revision>
  <cp:lastPrinted>2024-12-09T06:30:00Z</cp:lastPrinted>
  <dcterms:created xsi:type="dcterms:W3CDTF">2022-03-03T13:07:00Z</dcterms:created>
  <dcterms:modified xsi:type="dcterms:W3CDTF">2024-12-10T06:09:00Z</dcterms:modified>
</cp:coreProperties>
</file>