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623A1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76092" w:themeColor="accent1" w:themeShade="BF"/>
          <w:sz w:val="20"/>
          <w:szCs w:val="20"/>
        </w:rPr>
      </w:pPr>
      <w:r>
        <w:rPr>
          <w:rFonts w:ascii="Arial" w:hAnsi="Arial" w:cs="Arial"/>
          <w:b/>
          <w:color w:val="376092" w:themeColor="accent1" w:themeShade="BF"/>
          <w:szCs w:val="24"/>
        </w:rPr>
        <w:t>OBRAZAC</w:t>
      </w:r>
    </w:p>
    <w:p w14:paraId="4F987877">
      <w:pPr>
        <w:autoSpaceDE w:val="0"/>
        <w:autoSpaceDN w:val="0"/>
        <w:adjustRightInd w:val="0"/>
        <w:rPr>
          <w:rFonts w:ascii="Arial" w:hAnsi="Arial" w:cs="Arial"/>
          <w:b/>
          <w:color w:val="376092" w:themeColor="accent1" w:themeShade="BF"/>
          <w:sz w:val="20"/>
          <w:szCs w:val="20"/>
        </w:rPr>
      </w:pPr>
    </w:p>
    <w:p w14:paraId="52929A43">
      <w:pPr>
        <w:autoSpaceDE w:val="0"/>
        <w:autoSpaceDN w:val="0"/>
        <w:adjustRightInd w:val="0"/>
        <w:rPr>
          <w:rFonts w:ascii="Arial" w:hAnsi="Arial" w:cs="Arial"/>
          <w:b/>
          <w:color w:val="376092" w:themeColor="accent1" w:themeShade="BF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5598"/>
      </w:tblGrid>
      <w:tr w14:paraId="5FFD01C2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 w14:paraId="6472806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Cs w:val="24"/>
              </w:rPr>
              <w:t>IZVJEŠTAJ O ANALIZI UTICAJA PROPISA ZA LOKALNE SAMOUPRAVE</w:t>
            </w:r>
          </w:p>
        </w:tc>
      </w:tr>
      <w:tr w14:paraId="31BF31C0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6167E6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09ECEDD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>Predsjednik Opštine Nikšić</w:t>
            </w:r>
          </w:p>
          <w:p w14:paraId="5488606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Cs w:val="24"/>
              </w:rPr>
              <w:t>Direkcija za imovinu</w:t>
            </w:r>
          </w:p>
        </w:tc>
      </w:tr>
      <w:tr w14:paraId="2E39E1A6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6F0D888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0B1C95AE">
            <w:pPr>
              <w:jc w:val="both"/>
              <w:rPr>
                <w:rFonts w:hint="default" w:ascii="Arial" w:hAnsi="Arial" w:cs="Arial"/>
                <w:bCs w:val="0"/>
                <w:szCs w:val="24"/>
                <w:lang w:val="sr-Latn-ME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Odluka </w:t>
            </w:r>
            <w:r>
              <w:rPr>
                <w:rFonts w:ascii="Arial" w:hAnsi="Arial" w:cs="Arial"/>
                <w:bCs w:val="0"/>
                <w:szCs w:val="24"/>
                <w:lang w:val="sl-SI"/>
              </w:rPr>
              <w:t xml:space="preserve">o </w:t>
            </w:r>
            <w:r>
              <w:rPr>
                <w:rFonts w:ascii="Arial" w:hAnsi="Arial" w:cs="Arial"/>
                <w:bCs w:val="0"/>
                <w:szCs w:val="24"/>
              </w:rPr>
              <w:t>davanju saglasnosti</w:t>
            </w:r>
            <w:r>
              <w:rPr>
                <w:rFonts w:ascii="Arial" w:hAnsi="Arial" w:cs="Arial"/>
                <w:bCs w:val="0"/>
                <w:szCs w:val="24"/>
                <w:lang w:val="sr-Latn-BA"/>
              </w:rPr>
              <w:t xml:space="preserve"> „Crnogorskom elektrodistributivnom sistemu“   </w:t>
            </w:r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Cs w:val="0"/>
                <w:szCs w:val="24"/>
                <w:lang w:val="sr-Latn-ME"/>
              </w:rPr>
              <w:t>D.O.O.</w:t>
            </w:r>
            <w:r>
              <w:rPr>
                <w:rFonts w:ascii="Arial" w:hAnsi="Arial" w:cs="Arial"/>
                <w:bCs w:val="0"/>
                <w:szCs w:val="24"/>
              </w:rPr>
              <w:t xml:space="preserve"> Podgorica za </w:t>
            </w:r>
            <w:r>
              <w:rPr>
                <w:rFonts w:ascii="Arial" w:hAnsi="Arial" w:cs="Arial"/>
                <w:bCs w:val="0"/>
                <w:szCs w:val="24"/>
                <w:lang w:val="sl-SI"/>
              </w:rPr>
              <w:t xml:space="preserve">zasnivanje stvarne službenosti </w:t>
            </w:r>
            <w:r>
              <w:rPr>
                <w:rFonts w:ascii="Arial" w:hAnsi="Arial" w:cs="Arial"/>
                <w:bCs w:val="0"/>
                <w:szCs w:val="24"/>
              </w:rPr>
              <w:t xml:space="preserve">na </w:t>
            </w:r>
            <w:r>
              <w:rPr>
                <w:rFonts w:ascii="Arial" w:hAnsi="Arial" w:cs="Arial"/>
                <w:bCs w:val="0"/>
                <w:szCs w:val="24"/>
                <w:lang w:val="sr-Latn-ME"/>
              </w:rPr>
              <w:t>katastarskim parcelama u raspolaganju opštine Nikšić</w:t>
            </w:r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Cs w:val="0"/>
                <w:szCs w:val="24"/>
                <w:lang w:val="sr-Latn-ME"/>
              </w:rPr>
              <w:t>u obuhvatu KO Rubeža</w:t>
            </w:r>
          </w:p>
        </w:tc>
      </w:tr>
      <w:tr w14:paraId="1055F216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4A8F02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1. Definisanje problema</w:t>
            </w:r>
          </w:p>
          <w:p w14:paraId="57FFACA0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je propis posljedica zahtjeva (propisa) na državnom nivou?</w:t>
            </w:r>
          </w:p>
          <w:p w14:paraId="2947509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Navesti zakonski odnosno strateški ili drugi osnov za donošenje propisa? </w:t>
            </w:r>
          </w:p>
          <w:p w14:paraId="07D15676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se propisom utvrđuju  sopstvene nadležnosti ili preneseni, odnosno povjereni poslovi lokalne samouprave?</w:t>
            </w:r>
          </w:p>
          <w:p w14:paraId="051D5B0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Koje probleme  treba da riješi predloženi akt?</w:t>
            </w:r>
          </w:p>
          <w:p w14:paraId="76355B82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Dali problem ima rodnu dimenziju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(ima posebni uticaj na žene)</w:t>
            </w:r>
          </w:p>
          <w:p w14:paraId="7321FF5C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Kojisu uzroci problema?</w:t>
            </w:r>
          </w:p>
          <w:p w14:paraId="03198E5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Koje su posljedice problema?</w:t>
            </w:r>
          </w:p>
          <w:p w14:paraId="22930317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 su subjekti oštećeni, na koji način i u kojoj mjeri?</w:t>
            </w:r>
          </w:p>
          <w:p w14:paraId="3AAC049C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Kako bi problem evoluirao bez promjene propisa (“status quo” opcija)?</w:t>
            </w:r>
          </w:p>
        </w:tc>
      </w:tr>
      <w:tr w14:paraId="780846D5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262E339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Ovaj propis nije posledica zahtjeva(propisa) na državnom nivou.</w:t>
            </w:r>
          </w:p>
          <w:p w14:paraId="74F40E61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Pravni osnov za donošenje ove odluke je sadržan u članu 29 stav 2 Zakona o državnoj imovini („Službeni list CG“ br. 21/09 i 40/11), člana 38 stav 1 tačka 9 Zakona o lokalnoj samoupravi („Službeni list CG“ br. 2/18, 34/19, 38/20, 50/22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i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84/22), člana 35  stav 1 tačka 9 i člana 38 Statuta opštine Nikšić („Službeni list CG - Opštinski propisi“ br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.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31/18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i 21/23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);</w:t>
            </w:r>
          </w:p>
          <w:p w14:paraId="13C66BF0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Riječ je o sopstvenim nadležnostima lokalne samouprave;</w:t>
            </w:r>
          </w:p>
          <w:p w14:paraId="3321C02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Predloženi akt treba da riješi  imovinsko-pravne odnose između Opštine Nikšić  i „Crnogorskog elektrodistributivnog sistema“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D.O.O.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Podgorica u postupku zasnivanje stvarne službenosti na katastarskim parcelama u raspolaganju opštine Nikšić </w:t>
            </w:r>
          </w:p>
          <w:p w14:paraId="74D5EDA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Problem nema rodnu dimenziju;</w:t>
            </w:r>
          </w:p>
          <w:p w14:paraId="0A5A102F">
            <w:pPr>
              <w:pStyle w:val="15"/>
              <w:numPr>
                <w:ilvl w:val="0"/>
                <w:numId w:val="2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Uzrok problema je što se radi sigurnijeg i stabilnijeg snadbijevanja električnom energijom potrošača na teritoriji opštine Nikšić pristupilo realizaciji investicionog projekta na polaganju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10 kV kablovskog voda od energetskog objekta TS 10/0,4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kV„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Stadion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 xml:space="preserve">“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do energetskog objekta TS 10/0,4 kV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„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Dom Dragova Luka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“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, zbog čega se prvenstveno moraju riješiti imovinsko-pravni odnosi sa vlasni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cima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zemljišta kuda kabal treba da prođe.</w:t>
            </w:r>
          </w:p>
          <w:p w14:paraId="1177A39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Posledica problema je ta što se bez saglasnosti vlasnika zemljišta za ustanovljavanje prava službenosti ne može izvršiti polaganje kablova;</w:t>
            </w:r>
          </w:p>
          <w:p w14:paraId="0D31E4A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Ukoliko se ne bi usvojila ova Odluka, oštećeni subjekti su pored „Crnogorskog elektrodistributivnog sistema“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D.O.O.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 Podgorica i svi građani na teritoriji opštine Nikšić, jer je u pitanju investicija od javnog interesa.</w:t>
            </w:r>
          </w:p>
          <w:p w14:paraId="559C086B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U “status quo” opciji „Crnogorski elektrodistributivni sistem“ d.o.o. Podgorica, bez riješenih imovinsko-pravnih odnosa ne može pristupiti polaganju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10kV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kablovskog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voda. </w:t>
            </w:r>
          </w:p>
          <w:p w14:paraId="09C75F0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14A83E8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</w:tc>
      </w:tr>
      <w:tr w14:paraId="19B64C5B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4E3C3A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2. Ciljevi</w:t>
            </w:r>
          </w:p>
          <w:p w14:paraId="495750BB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 ciljevi se postižu predloženim propisom?</w:t>
            </w:r>
          </w:p>
          <w:p w14:paraId="3005E163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Da li bilo koji od ciljeva unapređuje rodnu ravnopravnost? </w:t>
            </w:r>
          </w:p>
        </w:tc>
      </w:tr>
      <w:tr w14:paraId="221CCCCE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49940043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Cilj Odluke je stvaranje uslova za polaganje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10 kV kablovskog voda od energetskog objekta TS 10/0,4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kV„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Stadion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 xml:space="preserve">“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do energetskog objekta TS 10/0,4 kV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„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Dom Dragova Luka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“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, čime bi se povećalo sna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bd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ijevanje strujom na teriroriji Opštine; </w:t>
            </w:r>
          </w:p>
          <w:p w14:paraId="5346C18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Nijedan  od ciljeva ne unapređuje rodnu ravnopravnost. </w:t>
            </w:r>
          </w:p>
        </w:tc>
      </w:tr>
      <w:tr w14:paraId="4A494AC2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0C15A9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3. Opcije</w:t>
            </w:r>
          </w:p>
          <w:p w14:paraId="11B1715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Zašto je propis neophodan? </w:t>
            </w:r>
          </w:p>
          <w:p w14:paraId="5EC7998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70DE31B1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Obrazložiti preferiranu opciju?(koja je rodna dimenzija te opcije; kako preferirana opcija unapređuje rodnu ravnopravnost:  status žena i odnose među ženama i muškarcima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)</w:t>
            </w:r>
          </w:p>
        </w:tc>
      </w:tr>
      <w:tr w14:paraId="5B0271C5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09BC70B1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Donošenje propisa je neophodno za rješavanje imovinsko-pravnih odnosa radi polaganja 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10 kV kablovskog voda od energetskog objekta TS 10/0,4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kV„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Stadion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 xml:space="preserve">“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do energetskog objekta TS 10/0,4 kV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„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Dom Dragova Luka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CS"/>
              </w:rPr>
              <w:t>“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.  </w:t>
            </w:r>
          </w:p>
          <w:p w14:paraId="05B8304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 w:val="0"/>
                <w:i/>
                <w:iCs/>
                <w:color w:val="376092" w:themeColor="accent1" w:themeShade="BF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Ne postoji nijedna opcija za rješavanje ovog problema izuzev donošenja predložene odluke. </w:t>
            </w:r>
          </w:p>
        </w:tc>
      </w:tr>
      <w:tr w14:paraId="47BD5B7C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68A7A46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4. Analiza uticaja</w:t>
            </w:r>
          </w:p>
          <w:p w14:paraId="4DE269E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 koga će i kako će najvjerovatnije uticati rješenja u propisu - nabrojati pozitivne i negativne uticaje, direktne i indirektne?</w:t>
            </w:r>
          </w:p>
          <w:p w14:paraId="6FC37BB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Koje troškove ili uštede će primjena propisa izazvati građanima i privredi (naročito malim i srednjim preduzećima)?</w:t>
            </w:r>
          </w:p>
          <w:p w14:paraId="704F1BCD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pozitivne posljedice donošenja propisa opravdavaju troškove koje će on stvoriti?</w:t>
            </w:r>
          </w:p>
          <w:p w14:paraId="698B9431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se propisom podržava stvaranje novih privrednih subjekata na tržištu i tržišna konkurencija?</w:t>
            </w:r>
          </w:p>
          <w:p w14:paraId="49FEE87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Uključiti procjenu administrativnih opterećenja i biznis barijera.</w:t>
            </w:r>
          </w:p>
          <w:p w14:paraId="53A4559E">
            <w:pPr>
              <w:pStyle w:val="15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</w:tc>
      </w:tr>
      <w:tr w14:paraId="1CE93BF7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2666E478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Propis će uticati na građane opštine Nikšić; </w:t>
            </w:r>
          </w:p>
          <w:p w14:paraId="04CF3A57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Primjenom ove Odluke neće izazvati troškove građanima i privredi (naročito malim i srednjim preduzećima);</w:t>
            </w:r>
          </w:p>
          <w:p w14:paraId="22135CE6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Odluka ne podržava stvaranje novih privrednih subjekata i ne utiče na tržišnu konkurenciju;</w:t>
            </w:r>
          </w:p>
          <w:p w14:paraId="3B67D2F2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Odlukom se ne stvaraju administrativna opterećenja i biznis barijera. </w:t>
            </w:r>
          </w:p>
        </w:tc>
      </w:tr>
      <w:tr w14:paraId="3F879BAC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7106E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5.Procjena fiskalnog uticaja</w:t>
            </w:r>
          </w:p>
          <w:p w14:paraId="1AB9960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je potrebno obezbjeđenje finansijskih sredstava iz budžeta lokalnih samouprava odnosno budžeta Crne Gore za implementaciju propisa i u kom iznosu?</w:t>
            </w:r>
          </w:p>
          <w:p w14:paraId="591457B5">
            <w:pPr>
              <w:pStyle w:val="15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je obezbjeđenje finansijskih sredstava jednokratno, ili tokom određenog vremenskog perioda?  Obrazložiti.</w:t>
            </w:r>
          </w:p>
          <w:p w14:paraId="0CBA973C">
            <w:pPr>
              <w:pStyle w:val="15"/>
              <w:numPr>
                <w:ilvl w:val="0"/>
                <w:numId w:val="2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su neophodna finansijska sredstva obezbijeđena u budžetu lokalnih samouprava odnosno budžetu Crne Gore za tekuću fiskal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en-US"/>
              </w:rPr>
              <w:t xml:space="preserve">nu godinu, odnosno da li su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planirana u budžetu za narednu fiskalnu godinu?</w:t>
            </w:r>
          </w:p>
          <w:p w14:paraId="0A8BC3FA">
            <w:pPr>
              <w:pStyle w:val="15"/>
              <w:numPr>
                <w:ilvl w:val="0"/>
                <w:numId w:val="2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propis utiče na visinu prihoda jedinice lokalne samouprave odnosno prihoda budžeta Crne Gore i kako ?</w:t>
            </w:r>
          </w:p>
          <w:p w14:paraId="43C57216">
            <w:pPr>
              <w:pStyle w:val="15"/>
              <w:numPr>
                <w:ilvl w:val="0"/>
                <w:numId w:val="2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 je potencijalni korisnik budžeta za implementaciju propisa (u kojem procentu bi korisnici mogli biti muškarci, a u kojem žene? Da li implementacija budžeta može biti uzrok neravnopravnosti između muškaraca i žena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)</w:t>
            </w:r>
          </w:p>
          <w:p w14:paraId="466A4358">
            <w:pPr>
              <w:pStyle w:val="15"/>
              <w:numPr>
                <w:ilvl w:val="0"/>
                <w:numId w:val="0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23057B9B">
            <w:pPr>
              <w:pStyle w:val="15"/>
              <w:numPr>
                <w:ilvl w:val="0"/>
                <w:numId w:val="0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5049FC00">
            <w:pPr>
              <w:pStyle w:val="15"/>
              <w:numPr>
                <w:ilvl w:val="0"/>
                <w:numId w:val="0"/>
              </w:numP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</w:tc>
      </w:tr>
      <w:tr w14:paraId="75F4BD4E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18DF1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78370BA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Tokom inplementacije rješenja iz predložene odluke, nije potrebno obezbijediti finansijska sredstva iz budžeta Opštine Nikšić;</w:t>
            </w:r>
          </w:p>
          <w:p w14:paraId="388A3F81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Nijesu neophodna finansijska sredstva obezbijeđena u budžetu za tekuću fiskalnu godinu, odnosno nijesu planirana u budžetu za narednu fiskanu godinu.</w:t>
            </w:r>
          </w:p>
          <w:p w14:paraId="34478D8B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Propis ne utiče na visinu prihoda jedinice lokalne samouprave odnosno prihoda budžeta Crne Gore.</w:t>
            </w:r>
          </w:p>
          <w:p w14:paraId="0C8A4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</w:p>
        </w:tc>
      </w:tr>
      <w:tr w14:paraId="7AC6238E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5E2F3E1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onsultacije zainteresovanih strana</w:t>
            </w:r>
          </w:p>
          <w:p w14:paraId="12B114B7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Naznačiti da li je korišćena eksterna ekspertska podrška i ako da, kako.</w:t>
            </w:r>
          </w:p>
          <w:p w14:paraId="2095BD9E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Naznačiti koje su grupe zainteresovanih strana konsultovane, u kojoj fazi RIA procesa i kako (javne ili ciljane konsultacije).</w:t>
            </w:r>
          </w:p>
          <w:p w14:paraId="44C9D9B8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su predstavnice ženskih udruženja bile uključene u konsultacije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en-US"/>
              </w:rPr>
              <w:t>?</w:t>
            </w:r>
          </w:p>
          <w:p w14:paraId="5B7726B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14:paraId="13162E3A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3A96D1C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799F59E6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Tokom izrade predloženog propisa nije korišćena ekspertska podrška 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ali je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vršen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konsultacij</w:t>
            </w:r>
            <w:r>
              <w:rPr>
                <w:rFonts w:hint="default"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a sa Sekretarijatom za uređenje prostora i zaštitu životne sredine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;</w:t>
            </w:r>
          </w:p>
          <w:p w14:paraId="11230A4E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Predstavnice ženskih udruženja nijesu bile uključene u konsultacije.</w:t>
            </w:r>
          </w:p>
          <w:p w14:paraId="23B226E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</w:p>
        </w:tc>
      </w:tr>
      <w:tr w14:paraId="121D4BAC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 w14:paraId="1A96E7B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7: Monitoring i evaluacija</w:t>
            </w:r>
          </w:p>
          <w:p w14:paraId="58A3149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Koje su potencijalne prepreke za implementaciju propisa? </w:t>
            </w:r>
          </w:p>
          <w:p w14:paraId="42CF88DD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 su glavni indikatori prema kojima će se mjeriti ispunjenje ciljeva?</w:t>
            </w:r>
          </w:p>
          <w:p w14:paraId="4DA12653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 će biti zadužen za sprovođenje monitoringa i evaluacije primjene propisa?</w:t>
            </w:r>
          </w:p>
        </w:tc>
      </w:tr>
      <w:tr w14:paraId="5834DEC3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 w14:paraId="45350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76092" w:themeColor="accent1" w:themeShade="BF"/>
                <w:sz w:val="21"/>
                <w:szCs w:val="21"/>
                <w:lang w:val="sr-Latn-CS"/>
              </w:rPr>
            </w:pPr>
          </w:p>
          <w:p w14:paraId="01A21817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Potencijalne prepreke za realizaciju predloženih rješenja iz odluke ne postoje.</w:t>
            </w:r>
          </w:p>
          <w:p w14:paraId="2BBB2FE7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Za sprovođenje monitoringa i evaluaciju primjene propisa, u okviru svoje nadležnosti, biće zadužen organ lokalne uprave nadležan za poslove imovine.</w:t>
            </w:r>
          </w:p>
          <w:p w14:paraId="46B159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19A7CE3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</w:p>
          <w:p w14:paraId="54C38C1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76092" w:themeColor="accent1" w:themeShade="BF"/>
                <w:sz w:val="20"/>
                <w:szCs w:val="20"/>
              </w:rPr>
            </w:pPr>
          </w:p>
        </w:tc>
      </w:tr>
    </w:tbl>
    <w:p w14:paraId="3FD7F347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76092" w:themeColor="accent1" w:themeShade="BF"/>
          <w:sz w:val="20"/>
          <w:szCs w:val="20"/>
        </w:rPr>
      </w:pPr>
    </w:p>
    <w:p w14:paraId="421D34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i mjesto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DIREKTOR</w:t>
      </w:r>
    </w:p>
    <w:p w14:paraId="48F322A5">
      <w:pPr>
        <w:rPr>
          <w:rFonts w:ascii="Arial" w:hAnsi="Arial" w:cs="Arial"/>
        </w:rPr>
      </w:pPr>
    </w:p>
    <w:p w14:paraId="0389FB4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Nikšić, </w:t>
      </w:r>
      <w:r>
        <w:rPr>
          <w:rFonts w:hint="default" w:ascii="Arial" w:hAnsi="Arial" w:cs="Arial"/>
          <w:b/>
          <w:szCs w:val="24"/>
          <w:lang w:val="sr-Latn-ME"/>
        </w:rPr>
        <w:t>15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. </w:t>
      </w:r>
      <w:r>
        <w:rPr>
          <w:rFonts w:hint="default" w:ascii="Arial" w:hAnsi="Arial" w:cs="Arial"/>
          <w:b/>
          <w:szCs w:val="24"/>
          <w:lang w:val="sr-Latn-ME"/>
        </w:rPr>
        <w:t>oktobar</w:t>
      </w:r>
      <w:r>
        <w:rPr>
          <w:rFonts w:ascii="Arial" w:hAnsi="Arial" w:cs="Arial"/>
          <w:b/>
          <w:szCs w:val="24"/>
        </w:rPr>
        <w:t xml:space="preserve">  202</w:t>
      </w:r>
      <w:r>
        <w:rPr>
          <w:rFonts w:hint="default" w:ascii="Arial" w:hAnsi="Arial" w:cs="Arial"/>
          <w:b/>
          <w:szCs w:val="24"/>
          <w:lang w:val="sr-Latn-ME"/>
        </w:rPr>
        <w:t>4</w:t>
      </w:r>
      <w:r>
        <w:rPr>
          <w:rFonts w:ascii="Arial" w:hAnsi="Arial" w:cs="Arial"/>
          <w:b/>
          <w:szCs w:val="24"/>
        </w:rPr>
        <w:t xml:space="preserve">. godine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Radosav Urošević</w:t>
      </w:r>
    </w:p>
    <w:p w14:paraId="5918C0C5">
      <w:pPr>
        <w:rPr>
          <w:rFonts w:ascii="Arial" w:hAnsi="Arial" w:cs="Arial"/>
          <w:color w:val="376092" w:themeColor="accent1" w:themeShade="BF"/>
        </w:rPr>
      </w:pPr>
    </w:p>
    <w:sectPr>
      <w:pgSz w:w="12240" w:h="15840"/>
      <w:pgMar w:top="851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725B"/>
    <w:multiLevelType w:val="multilevel"/>
    <w:tmpl w:val="1A5C725B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 w:tentative="0">
      <w:start w:val="0"/>
      <w:numFmt w:val="bullet"/>
      <w:lvlText w:val="-"/>
      <w:lvlJc w:val="left"/>
      <w:pPr>
        <w:ind w:left="63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C5F59"/>
    <w:rsid w:val="000E5392"/>
    <w:rsid w:val="000E7E95"/>
    <w:rsid w:val="00136E1D"/>
    <w:rsid w:val="00154647"/>
    <w:rsid w:val="00162BB1"/>
    <w:rsid w:val="00165A77"/>
    <w:rsid w:val="00183269"/>
    <w:rsid w:val="001A77E0"/>
    <w:rsid w:val="001B6959"/>
    <w:rsid w:val="001C7348"/>
    <w:rsid w:val="001D0BF0"/>
    <w:rsid w:val="001D40E5"/>
    <w:rsid w:val="001E1794"/>
    <w:rsid w:val="001E404C"/>
    <w:rsid w:val="002072BA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57476"/>
    <w:rsid w:val="00392F99"/>
    <w:rsid w:val="00395587"/>
    <w:rsid w:val="003D3FB6"/>
    <w:rsid w:val="003F334E"/>
    <w:rsid w:val="00421C05"/>
    <w:rsid w:val="00424B67"/>
    <w:rsid w:val="00425794"/>
    <w:rsid w:val="0047459A"/>
    <w:rsid w:val="0049164B"/>
    <w:rsid w:val="004A4396"/>
    <w:rsid w:val="004B549B"/>
    <w:rsid w:val="004C7A22"/>
    <w:rsid w:val="004E1351"/>
    <w:rsid w:val="004F4F9C"/>
    <w:rsid w:val="00504237"/>
    <w:rsid w:val="0054756C"/>
    <w:rsid w:val="005602EB"/>
    <w:rsid w:val="005805F3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A1C7D"/>
    <w:rsid w:val="007C12EB"/>
    <w:rsid w:val="007C2657"/>
    <w:rsid w:val="007D05DC"/>
    <w:rsid w:val="007E7A1D"/>
    <w:rsid w:val="008039CA"/>
    <w:rsid w:val="008047E8"/>
    <w:rsid w:val="008169A7"/>
    <w:rsid w:val="008301C9"/>
    <w:rsid w:val="008322D4"/>
    <w:rsid w:val="00833765"/>
    <w:rsid w:val="0085327D"/>
    <w:rsid w:val="008653C8"/>
    <w:rsid w:val="00871235"/>
    <w:rsid w:val="008748BB"/>
    <w:rsid w:val="008A2781"/>
    <w:rsid w:val="008B09E9"/>
    <w:rsid w:val="008C0535"/>
    <w:rsid w:val="008C5160"/>
    <w:rsid w:val="008D0619"/>
    <w:rsid w:val="008E4862"/>
    <w:rsid w:val="008E6C79"/>
    <w:rsid w:val="008E7881"/>
    <w:rsid w:val="009535C3"/>
    <w:rsid w:val="00960A46"/>
    <w:rsid w:val="00972845"/>
    <w:rsid w:val="00981466"/>
    <w:rsid w:val="009874EB"/>
    <w:rsid w:val="009E489E"/>
    <w:rsid w:val="009F37BA"/>
    <w:rsid w:val="00A07773"/>
    <w:rsid w:val="00A265F9"/>
    <w:rsid w:val="00A71595"/>
    <w:rsid w:val="00A726F0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C111D8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63BD"/>
    <w:rsid w:val="00D06D2A"/>
    <w:rsid w:val="00D10AC3"/>
    <w:rsid w:val="00D25692"/>
    <w:rsid w:val="00D27C82"/>
    <w:rsid w:val="00D4308A"/>
    <w:rsid w:val="00D87CB1"/>
    <w:rsid w:val="00DB629C"/>
    <w:rsid w:val="00DD04AC"/>
    <w:rsid w:val="00DD1187"/>
    <w:rsid w:val="00DF5EA1"/>
    <w:rsid w:val="00DF6762"/>
    <w:rsid w:val="00E01F55"/>
    <w:rsid w:val="00E27102"/>
    <w:rsid w:val="00E3478E"/>
    <w:rsid w:val="00E45613"/>
    <w:rsid w:val="00E61671"/>
    <w:rsid w:val="00E721E9"/>
    <w:rsid w:val="00ED0AF4"/>
    <w:rsid w:val="00ED0F74"/>
    <w:rsid w:val="00ED4766"/>
    <w:rsid w:val="00F20105"/>
    <w:rsid w:val="00F724F6"/>
    <w:rsid w:val="00F72683"/>
    <w:rsid w:val="00F7433F"/>
    <w:rsid w:val="00F827EF"/>
    <w:rsid w:val="00F829CD"/>
    <w:rsid w:val="00FB6BD5"/>
    <w:rsid w:val="00FB7CBA"/>
    <w:rsid w:val="00FF1494"/>
    <w:rsid w:val="5ADE3D39"/>
    <w:rsid w:val="5E09276F"/>
    <w:rsid w:val="615E4382"/>
    <w:rsid w:val="63A427F6"/>
    <w:rsid w:val="64BF5E42"/>
    <w:rsid w:val="6965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Garamond" w:hAnsi="Garamond" w:eastAsia="Times New Roman" w:cs="Times New Roman"/>
      <w:bCs/>
      <w:sz w:val="24"/>
      <w:szCs w:val="22"/>
      <w:lang w:val="en-GB" w:eastAsia="en-GB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8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9"/>
    <w:semiHidden/>
    <w:unhideWhenUsed/>
    <w:uiPriority w:val="99"/>
    <w:rPr>
      <w:b/>
    </w:rPr>
  </w:style>
  <w:style w:type="character" w:styleId="9">
    <w:name w:val="footnote reference"/>
    <w:basedOn w:val="3"/>
    <w:semiHidden/>
    <w:uiPriority w:val="99"/>
    <w:rPr>
      <w:rFonts w:ascii="Garamond" w:hAnsi="Garamond"/>
      <w:sz w:val="20"/>
      <w:vertAlign w:val="superscript"/>
    </w:rPr>
  </w:style>
  <w:style w:type="paragraph" w:styleId="10">
    <w:name w:val="footnote text"/>
    <w:basedOn w:val="1"/>
    <w:link w:val="14"/>
    <w:autoRedefine/>
    <w:semiHidden/>
    <w:uiPriority w:val="99"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Light Grid Accent 5"/>
    <w:basedOn w:val="4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3">
    <w:name w:val="Heading 2 Char"/>
    <w:basedOn w:val="3"/>
    <w:link w:val="2"/>
    <w:uiPriority w:val="0"/>
    <w:rPr>
      <w:rFonts w:ascii="Arial" w:hAnsi="Arial" w:eastAsia="Times New Roman" w:cs="Arial"/>
      <w:b/>
      <w:bCs/>
      <w:iCs/>
      <w:szCs w:val="28"/>
      <w:lang w:val="en-GB" w:eastAsia="en-GB"/>
    </w:rPr>
  </w:style>
  <w:style w:type="character" w:customStyle="1" w:styleId="14">
    <w:name w:val="Footnote Text Char"/>
    <w:basedOn w:val="3"/>
    <w:link w:val="10"/>
    <w:semiHidden/>
    <w:uiPriority w:val="99"/>
    <w:rPr>
      <w:rFonts w:ascii="Arial" w:hAnsi="Arial" w:eastAsia="Times New Roman" w:cs="Arial"/>
      <w:bCs/>
      <w:sz w:val="16"/>
      <w:szCs w:val="16"/>
      <w:lang w:val="en-GB" w:eastAsia="en-GB"/>
    </w:rPr>
  </w:style>
  <w:style w:type="paragraph" w:styleId="15">
    <w:name w:val="List Paragraph"/>
    <w:basedOn w:val="1"/>
    <w:qFormat/>
    <w:uiPriority w:val="99"/>
    <w:pPr>
      <w:ind w:left="720"/>
    </w:pPr>
  </w:style>
  <w:style w:type="character" w:customStyle="1" w:styleId="16">
    <w:name w:val="expand1"/>
    <w:basedOn w:val="3"/>
    <w:uiPriority w:val="0"/>
    <w:rPr>
      <w:rFonts w:hint="default" w:ascii="Arial" w:hAnsi="Arial" w:cs="Arial"/>
      <w:vanish/>
      <w:sz w:val="18"/>
      <w:szCs w:val="18"/>
    </w:rPr>
  </w:style>
  <w:style w:type="character" w:customStyle="1" w:styleId="17">
    <w:name w:val="Balloon Text Char"/>
    <w:basedOn w:val="3"/>
    <w:link w:val="5"/>
    <w:semiHidden/>
    <w:uiPriority w:val="99"/>
    <w:rPr>
      <w:rFonts w:ascii="Tahoma" w:hAnsi="Tahoma" w:eastAsia="Times New Roman" w:cs="Tahoma"/>
      <w:bCs/>
      <w:sz w:val="16"/>
      <w:szCs w:val="16"/>
      <w:lang w:val="en-GB" w:eastAsia="en-GB"/>
    </w:rPr>
  </w:style>
  <w:style w:type="character" w:customStyle="1" w:styleId="18">
    <w:name w:val="Comment Text Char"/>
    <w:basedOn w:val="3"/>
    <w:link w:val="7"/>
    <w:semiHidden/>
    <w:uiPriority w:val="99"/>
    <w:rPr>
      <w:rFonts w:ascii="Garamond" w:hAnsi="Garamond" w:eastAsia="Times New Roman" w:cs="Times New Roman"/>
      <w:bCs/>
      <w:sz w:val="20"/>
      <w:szCs w:val="20"/>
      <w:lang w:val="en-GB" w:eastAsia="en-GB"/>
    </w:rPr>
  </w:style>
  <w:style w:type="character" w:customStyle="1" w:styleId="19">
    <w:name w:val="Comment Subject Char"/>
    <w:basedOn w:val="18"/>
    <w:link w:val="8"/>
    <w:semiHidden/>
    <w:uiPriority w:val="99"/>
    <w:rPr>
      <w:rFonts w:ascii="Garamond" w:hAnsi="Garamond" w:eastAsia="Times New Roman" w:cs="Times New Roman"/>
      <w:b/>
      <w:sz w:val="20"/>
      <w:szCs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1015</Words>
  <Characters>5789</Characters>
  <Lines>48</Lines>
  <Paragraphs>13</Paragraphs>
  <TotalTime>11</TotalTime>
  <ScaleCrop>false</ScaleCrop>
  <LinksUpToDate>false</LinksUpToDate>
  <CharactersWithSpaces>6791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2022-12-05T05:49:00Z</dcterms:created>
  <dc:creator>Andreja Marusic</dc:creator>
  <cp:lastModifiedBy>Rada Kapor</cp:lastModifiedBy>
  <cp:lastPrinted>2024-10-14T11:25:39Z</cp:lastPrinted>
  <dcterms:modified xsi:type="dcterms:W3CDTF">2024-10-14T11:25:54Z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DE4FDFB7746F4480B3A3386214B08D30_13</vt:lpwstr>
  </property>
</Properties>
</file>