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9C" w:rsidRDefault="00EB37CA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38219C" w:rsidTr="00382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8219C" w:rsidRDefault="00EB3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Predsjednik Opštine Nikšić</w:t>
            </w:r>
          </w:p>
          <w:p w:rsidR="0038219C" w:rsidRDefault="00EB3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/>
                <w:bCs w:val="0"/>
                <w:szCs w:val="24"/>
              </w:rPr>
              <w:t>Direkcija za imovinu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19C" w:rsidRDefault="00EB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 xml:space="preserve">Odluka o raspisivanju oglasa o javnom nadmetanju za prenos prava svojine na građevinsko zemljište u skladu </w:t>
            </w:r>
            <w:r>
              <w:rPr>
                <w:rFonts w:ascii="Arial" w:hAnsi="Arial"/>
                <w:bCs w:val="0"/>
                <w:szCs w:val="24"/>
              </w:rPr>
              <w:t>sa  Generalnim urbanističkim rješenjem izmjena i dopuna Prostorno-urbanističkog plana opštine Nikšić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1. Definisanje problema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Da li je propis posljedica zahtjeva (propisa) na državnom nivou?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Navesti zakonski odnosno strateški ili drugi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osnov za donošenje propisa?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Da li se propisom utvrđuju  sopstvene nadležnosti ili preneseni, odnosno povjereni poslovi lokalne samouprave?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Koje probleme  treba da riješi predloženi akt?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Dali problem ima rodnu dimenziju? (ima posebni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uticaj na žene)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Kojisu uzroci problema?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Koje su posljedice problema?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Koji su subjekti oštećeni, na koji način i u kojoj mjeri?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 Kako bi problem evoluirao bez promjene propisa (“status quo” opcija)?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19C" w:rsidRDefault="00EB37C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Ovaj propis nije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posledica zahtjeva(propisa) na državnom nivou.</w:t>
            </w:r>
          </w:p>
          <w:p w:rsidR="0038219C" w:rsidRDefault="00EB37C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Pravni osnov za donošenje ove odluke je sadržan u članu 34 stav 1 i 3 i članu 40 stav 1 Zakona o državnoj imovini („Službeni list CG“ br. 21/09 i 40/11), članu 38 stav 1 tačka 9 Zakona o lokalnoj samoupravi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(„Službeni list CG“ br. 2/18, 34/19, 38/20, 50/22 i 84/22), člana 35  stav 1 tačka 9 i člana 38 Statuta opštine Nikšić („Službeni list CG - Opštinski propisi“ broj 31/18);</w:t>
            </w:r>
          </w:p>
          <w:p w:rsidR="0038219C" w:rsidRDefault="00EB37C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Riječ je o sopstvenim nadležnostima lokalne samouprave;</w:t>
            </w:r>
          </w:p>
          <w:p w:rsidR="0038219C" w:rsidRDefault="00EB37C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Predloženi akt treba da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riješi  postupak provođenja javnog poziva za javno nadmetanje za prikupljanje ponuda radi prodaje  građevinskog zemljišta za potrebe privođenja prostora planiranoj namjeni –odnosno realizacije Generaln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og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urbanističk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og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rješenj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izmjena i dopuna Prostorno-u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rbanističkog plana opštine Nikšić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38219C" w:rsidRDefault="00EB37C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Problem nema rodnu dimenziju;</w:t>
            </w:r>
          </w:p>
          <w:p w:rsidR="0038219C" w:rsidRDefault="00EB37C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Uzrok problema je taj što je pomenuti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planski dokument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donešen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sredinom godine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i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isti nije realizovan u dijelu privođena namjeni urbanističke parcele koja je predmet javnog nadmetanja.</w:t>
            </w:r>
          </w:p>
          <w:p w:rsidR="0038219C" w:rsidRDefault="00EB37C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Posledica problema je ta što bez realizacije Odluke ne može provesti javni poziv pa samim tim ni privesti prostor namjeni u skladu sa planskim dokumentom za to područje ;</w:t>
            </w:r>
          </w:p>
          <w:p w:rsidR="0038219C" w:rsidRDefault="00EB37C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Ukoliko se ne bi usvojila ova Odluka, oštećeni subjekti su opština Nikšić i svi gr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ađani sa njene teritorije.</w:t>
            </w: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“status quo” opciji prostor se ne može privesti namjeni. 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2. Ciljevi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Koji ciljevi se postižu predloženim propisom?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Da li bilo koji od ciljeva unapređuje rodnu ravnopravnost?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 Odluke je stvaranje uslova za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privođenje zemljišta namjeni u skladu sa planskim dokumentom za to područje;</w:t>
            </w: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Nijedan  od ciljeva ne unapređuje rodnu ravnopravnost.</w:t>
            </w:r>
          </w:p>
          <w:p w:rsidR="0038219C" w:rsidRDefault="0038219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3. Opcije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Zašto je propis neophodan?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-    Koje su moguće opcije za ispunjavanje ciljeva i rješavanje problema? (u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vijek treba razmatrati “status quo” opciju i preporučljivo je uključiti i neregulatornu opciju, osim ako postoji obaveza donošenja predloženog propisa).</w:t>
            </w:r>
          </w:p>
          <w:p w:rsidR="0038219C" w:rsidRDefault="00EB37C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Obrazložiti preferiranu opciju?(koja je rodna dimenzija te opcije; kako preferirana opcija unapr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eđuje rodnu ravnopravnost:  status žena i odnose među ženama i muškarcima?)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 xml:space="preserve"> Donošenje propisa je neophodno za raspisivanje oglasa o javnom nadmetanju za prenos prava svojine na građevinsko zemljište u skladu sa Generalnim urbanističkim rješenjem izmjena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 dopuna Prostorno-urbanističkog plana opštine Nikšić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 postoji nijedna opcija za rješavanje ovog problema izuzev donošenja predložene odluke.</w:t>
            </w:r>
          </w:p>
        </w:tc>
      </w:tr>
      <w:tr w:rsidR="0038219C" w:rsidTr="0038219C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4. Analiza uticaja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 Na koga će i kako će najvjerovatnije uticati rješenja u propisu - nabrojati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pozitivne i negativne uticaje, direktne i indirektne?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Koje troškove ili uštede će primjena propisa izazvati građanima i privredi (naročito malim i srednjim preduzećima)?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Da li pozitivne posljedice donošenja propisa opravdavaju troškove koje će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on stvoriti?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Da li se propisom podržava stvaranje novih privrednih subjekata na tržištu i tržišna konkurencija?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   Uključiti procjenu administrativnih opterećenja i biznis barijera.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 će uticati na građane opštine Nikšić;</w:t>
            </w: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Primjenom ove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 neće izazvati troškove građanima i privredi (naročito malim i srednjim preduzećima);</w:t>
            </w: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Odluka ne podržava stvaranje novih privrednih subjekata i ne utiče na tržišnu konkurenciju;</w:t>
            </w: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Odlukom se ne stvaraju administrativna opterećenja i biznis barijera.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8219C" w:rsidRDefault="00EB37C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5.Procjena fiskalnog uticaja</w:t>
            </w:r>
          </w:p>
          <w:p w:rsidR="0038219C" w:rsidRDefault="00EB37C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Da li je potrebno obezbjeđenje finansijskih sredstava iz budžeta lokalnih samouprava odnosno budžeta Crne Gore za implementaciju propisa i u kom iznosu?</w:t>
            </w:r>
          </w:p>
          <w:p w:rsidR="0038219C" w:rsidRDefault="00EB37C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Da li je obezbjeđenje finansijskih sredstava jednokratno, ili t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okom određenog vremenskog perioda?  Obrazložiti.</w:t>
            </w:r>
          </w:p>
          <w:p w:rsidR="0038219C" w:rsidRDefault="00EB37C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Da li su neophodna finansijska sredstva obezbijeđena u budžetu lokalnih samouprava odnosno budžetu Crne Gore za tekuću fiskalnu godinu, odnosno da li su planirana u budžetu za narednu fiskalnu godinu?</w:t>
            </w:r>
          </w:p>
          <w:p w:rsidR="0038219C" w:rsidRDefault="00EB37C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Da li propis utiče na visinu prihoda jedinice lokalne samouprave odnosno prihoda budžeta Crne Gore i kako ?</w:t>
            </w:r>
          </w:p>
          <w:p w:rsidR="0038219C" w:rsidRDefault="00EB37C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Ko je potencijalni korisnik budžeta za implementaciju propisa (u kojem procentu bi korisnici mogli biti muškarci, a u kojem žene? Da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li implementacija budžeta može biti uzrok neravnopravnosti između muškaraca i žena?)</w:t>
            </w:r>
          </w:p>
          <w:p w:rsidR="0038219C" w:rsidRDefault="00EB37CA">
            <w:p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19C" w:rsidRDefault="003821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Tokom inplementacije rješenja iz predložene odluke, nije potrebno obezbijediti finansijska sredstva iz budžeta Opštine Nikšić;</w:t>
            </w: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Nijesu neophodna finansijska sredstva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obezbijeđena u budžetu za tekuću fiskalnu godinu, odnosno nijesu planirana u budžetu za narednu fiskanu godinu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 utiče na visinu prihoda jedinice lokalne samouprave na način što će ista prihodovati sredstva od prodatog zemljišta ali i od buduće nakna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de za komunalno opremanje građevinskog zemljišta. Početna cijena građevinskog zemljišta iz člana 1 ove odluke ne može biti manja od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35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,00 € po m2 zemljišta, utvrđena u skladu sa Izvještajem  o procjeni tržišne vrijednosti nepokretnosti od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09.12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.2024.godine,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urađenim od strane  Komisije za procjenu nepokretnih stvari u imovini opštine Nikšić formirane Rješenjem predsjednika opštine Nikšić broj 02-031-2538 od 16.06.2024. godine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6. Konsultacije zainteresovanih strana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Naznačiti da li je korišćena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eksterna ekspertska podrška i ako da, kako.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Naznačiti koje su grupe zainteresovanih strana konsultovane, u kojoj fazi RIA procesa i kako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(javne ili ciljane konsultacije).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Da li su predstavnice ženskih udruženja bile uključene u konsultacije?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Naznačiti glavne rezultate konsultacija, i koji su predlozi i sugestije zainteresovanih strana prihvaćeni odnosno nijesu prihvaćeni. Obrazložiti.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Tokom izrade predloženog propisa nije korišćena ekspertska podrška niti su vršene konsultacije;</w:t>
            </w:r>
          </w:p>
          <w:p w:rsidR="0038219C" w:rsidRDefault="00EB37C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Predstav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nice ženskih udruženja nijesu bile uključene u konsultacije.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38219C" w:rsidRDefault="00EB37C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7. Monitoring i evaluacija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Koje su potencijalne prepreke za implementaciju propisa?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       Koji su glavni indikatori prema kojima će se mjeriti ispunjenje ciljeva?</w:t>
            </w:r>
          </w:p>
          <w:p w:rsidR="0038219C" w:rsidRDefault="00EB37C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Ko će biti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zadužen za sprovođenje monitoringa i evaluacije primjene propisa?</w:t>
            </w:r>
          </w:p>
        </w:tc>
      </w:tr>
      <w:tr w:rsidR="0038219C" w:rsidTr="003821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8219C" w:rsidRDefault="0038219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38219C" w:rsidRDefault="00EB37C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Potencijalne prepreke za realizaciju predloženih rješenja iz odluke ne postoje.</w:t>
            </w:r>
          </w:p>
          <w:p w:rsidR="0038219C" w:rsidRDefault="00EB3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 sprovođenje monitoringa i evaluaciju primjene propisa, u okviru svoje nadležnosti, biće zadužen organ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lokalne uprave nadležan za poslove imovine.</w:t>
            </w:r>
          </w:p>
          <w:p w:rsidR="0038219C" w:rsidRDefault="003821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38219C" w:rsidRDefault="0038219C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38219C" w:rsidRDefault="00EB37CA">
      <w:pPr>
        <w:rPr>
          <w:rFonts w:ascii="Arial" w:hAnsi="Arial"/>
          <w:b/>
        </w:rPr>
      </w:pPr>
      <w:r>
        <w:rPr>
          <w:rFonts w:ascii="Arial" w:hAnsi="Arial"/>
          <w:b/>
        </w:rPr>
        <w:t>Datum i mjesto                                                                                   DIREKTOR</w:t>
      </w:r>
    </w:p>
    <w:p w:rsidR="0038219C" w:rsidRDefault="00EB37CA">
      <w:pPr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/>
          <w:b/>
        </w:rPr>
        <w:t xml:space="preserve">Nikšić, </w:t>
      </w:r>
      <w:r>
        <w:rPr>
          <w:rFonts w:ascii="Arial" w:hAnsi="Arial"/>
          <w:b/>
          <w:lang w:val="sr-Latn-ME"/>
        </w:rPr>
        <w:t>17. decembar</w:t>
      </w:r>
      <w:r>
        <w:rPr>
          <w:rFonts w:ascii="Arial" w:hAnsi="Arial"/>
          <w:b/>
        </w:rPr>
        <w:t xml:space="preserve">  2024. godine                                                 Radosav Urošević</w:t>
      </w:r>
    </w:p>
    <w:sectPr w:rsidR="0038219C"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CA" w:rsidRDefault="00EB37CA">
      <w:r>
        <w:separator/>
      </w:r>
    </w:p>
  </w:endnote>
  <w:endnote w:type="continuationSeparator" w:id="0">
    <w:p w:rsidR="00EB37CA" w:rsidRDefault="00EB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CA" w:rsidRDefault="00EB37CA">
      <w:r>
        <w:separator/>
      </w:r>
    </w:p>
  </w:footnote>
  <w:footnote w:type="continuationSeparator" w:id="0">
    <w:p w:rsidR="00EB37CA" w:rsidRDefault="00EB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5B"/>
    <w:multiLevelType w:val="multilevel"/>
    <w:tmpl w:val="1A5C725B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91EE8"/>
    <w:multiLevelType w:val="multilevel"/>
    <w:tmpl w:val="46991EE8"/>
    <w:lvl w:ilvl="0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2989"/>
    <w:rsid w:val="00036EFA"/>
    <w:rsid w:val="000511F0"/>
    <w:rsid w:val="00057E6C"/>
    <w:rsid w:val="000629D8"/>
    <w:rsid w:val="00067FCF"/>
    <w:rsid w:val="000716AC"/>
    <w:rsid w:val="00075306"/>
    <w:rsid w:val="00090EE2"/>
    <w:rsid w:val="000C5F59"/>
    <w:rsid w:val="000E5392"/>
    <w:rsid w:val="000E7E95"/>
    <w:rsid w:val="00136E1D"/>
    <w:rsid w:val="00154647"/>
    <w:rsid w:val="00162BB1"/>
    <w:rsid w:val="00165A77"/>
    <w:rsid w:val="00183269"/>
    <w:rsid w:val="001A77E0"/>
    <w:rsid w:val="001B6959"/>
    <w:rsid w:val="001C7348"/>
    <w:rsid w:val="001D0BF0"/>
    <w:rsid w:val="001D40E5"/>
    <w:rsid w:val="001E1794"/>
    <w:rsid w:val="001E404C"/>
    <w:rsid w:val="002072BA"/>
    <w:rsid w:val="00235BF5"/>
    <w:rsid w:val="00267C7D"/>
    <w:rsid w:val="00282840"/>
    <w:rsid w:val="00284A91"/>
    <w:rsid w:val="00294662"/>
    <w:rsid w:val="00295023"/>
    <w:rsid w:val="002A6869"/>
    <w:rsid w:val="002E7569"/>
    <w:rsid w:val="00310915"/>
    <w:rsid w:val="00322389"/>
    <w:rsid w:val="00357476"/>
    <w:rsid w:val="0038219C"/>
    <w:rsid w:val="00392F99"/>
    <w:rsid w:val="00395587"/>
    <w:rsid w:val="003D3FB6"/>
    <w:rsid w:val="003F334E"/>
    <w:rsid w:val="00410DF3"/>
    <w:rsid w:val="00421C05"/>
    <w:rsid w:val="00424B67"/>
    <w:rsid w:val="00425794"/>
    <w:rsid w:val="0047459A"/>
    <w:rsid w:val="0049164B"/>
    <w:rsid w:val="004A4396"/>
    <w:rsid w:val="004B549B"/>
    <w:rsid w:val="004C7A22"/>
    <w:rsid w:val="004E1351"/>
    <w:rsid w:val="004F4F9C"/>
    <w:rsid w:val="00504237"/>
    <w:rsid w:val="00541538"/>
    <w:rsid w:val="0054756C"/>
    <w:rsid w:val="005602EB"/>
    <w:rsid w:val="005805F3"/>
    <w:rsid w:val="005A3E04"/>
    <w:rsid w:val="005C4266"/>
    <w:rsid w:val="005F00B7"/>
    <w:rsid w:val="005F03ED"/>
    <w:rsid w:val="005F6D49"/>
    <w:rsid w:val="005F7F76"/>
    <w:rsid w:val="00601210"/>
    <w:rsid w:val="006129CD"/>
    <w:rsid w:val="00670445"/>
    <w:rsid w:val="006710AA"/>
    <w:rsid w:val="00673F68"/>
    <w:rsid w:val="00676EAD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A1C7D"/>
    <w:rsid w:val="007C12EB"/>
    <w:rsid w:val="007C2657"/>
    <w:rsid w:val="007D05DC"/>
    <w:rsid w:val="007E7A1D"/>
    <w:rsid w:val="008039CA"/>
    <w:rsid w:val="008047E8"/>
    <w:rsid w:val="008102B2"/>
    <w:rsid w:val="008169A7"/>
    <w:rsid w:val="008301C9"/>
    <w:rsid w:val="008322D4"/>
    <w:rsid w:val="00833765"/>
    <w:rsid w:val="0085327D"/>
    <w:rsid w:val="008653C8"/>
    <w:rsid w:val="00871235"/>
    <w:rsid w:val="008748BB"/>
    <w:rsid w:val="008A2781"/>
    <w:rsid w:val="008B09E9"/>
    <w:rsid w:val="008C0535"/>
    <w:rsid w:val="008C5160"/>
    <w:rsid w:val="008D0619"/>
    <w:rsid w:val="008E4862"/>
    <w:rsid w:val="008E6C79"/>
    <w:rsid w:val="008E7881"/>
    <w:rsid w:val="009535C3"/>
    <w:rsid w:val="00960A46"/>
    <w:rsid w:val="0097182D"/>
    <w:rsid w:val="00972845"/>
    <w:rsid w:val="00981466"/>
    <w:rsid w:val="009874EB"/>
    <w:rsid w:val="009E489E"/>
    <w:rsid w:val="009F37BA"/>
    <w:rsid w:val="00A07773"/>
    <w:rsid w:val="00A265F9"/>
    <w:rsid w:val="00A71595"/>
    <w:rsid w:val="00A726F0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C111D8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7DA2"/>
    <w:rsid w:val="00C96017"/>
    <w:rsid w:val="00CC63BD"/>
    <w:rsid w:val="00D06D2A"/>
    <w:rsid w:val="00D10AC3"/>
    <w:rsid w:val="00D25692"/>
    <w:rsid w:val="00D27C82"/>
    <w:rsid w:val="00D4308A"/>
    <w:rsid w:val="00D87CB1"/>
    <w:rsid w:val="00DB629C"/>
    <w:rsid w:val="00DD04AC"/>
    <w:rsid w:val="00DD1187"/>
    <w:rsid w:val="00DF5EA1"/>
    <w:rsid w:val="00DF6762"/>
    <w:rsid w:val="00E01F55"/>
    <w:rsid w:val="00E27102"/>
    <w:rsid w:val="00E3478E"/>
    <w:rsid w:val="00E45613"/>
    <w:rsid w:val="00E61671"/>
    <w:rsid w:val="00E721E9"/>
    <w:rsid w:val="00EB37CA"/>
    <w:rsid w:val="00ED0AF4"/>
    <w:rsid w:val="00ED0F74"/>
    <w:rsid w:val="00ED4766"/>
    <w:rsid w:val="00EE7102"/>
    <w:rsid w:val="00F20105"/>
    <w:rsid w:val="00F724F6"/>
    <w:rsid w:val="00F72683"/>
    <w:rsid w:val="00F7433F"/>
    <w:rsid w:val="00F827EF"/>
    <w:rsid w:val="00F829CD"/>
    <w:rsid w:val="00FB6BD5"/>
    <w:rsid w:val="00FB7CBA"/>
    <w:rsid w:val="00FF1494"/>
    <w:rsid w:val="033C2311"/>
    <w:rsid w:val="13316ABC"/>
    <w:rsid w:val="3A4B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2</cp:revision>
  <cp:lastPrinted>2022-12-08T08:15:00Z</cp:lastPrinted>
  <dcterms:created xsi:type="dcterms:W3CDTF">2024-12-20T12:14:00Z</dcterms:created>
  <dcterms:modified xsi:type="dcterms:W3CDTF">2024-12-20T12:14:00Z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F37817BA105747238EEAA311424B417C_13</vt:lpwstr>
  </property>
</Properties>
</file>