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5B" w:rsidRPr="00A875F3" w:rsidRDefault="005756F1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bCs w:val="0"/>
          <w:color w:val="17365D"/>
          <w:szCs w:val="24"/>
          <w:lang w:val="pl-PL"/>
        </w:rPr>
      </w:pPr>
      <w:r w:rsidRPr="00A875F3">
        <w:rPr>
          <w:rFonts w:ascii="Arial" w:hAnsi="Arial" w:cs="Arial"/>
          <w:b/>
          <w:bCs w:val="0"/>
          <w:color w:val="17365D"/>
          <w:szCs w:val="24"/>
          <w:lang w:val="pl-PL"/>
        </w:rPr>
        <w:t>ОБРАЗАЦ</w:t>
      </w:r>
    </w:p>
    <w:p w:rsidR="00EF1D5B" w:rsidRPr="005756F1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EF1D5B" w:rsidRPr="005756F1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CS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EF1D5B" w:rsidRPr="005756F1" w:rsidTr="000F05ED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EF1D5B" w:rsidRPr="00A875F3" w:rsidRDefault="005756F1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ИЗВЈЕШТАЈ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АНАЛИЗИ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УТИЦАЈА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САМОУПРАВЕ</w:t>
            </w:r>
          </w:p>
        </w:tc>
      </w:tr>
      <w:tr w:rsidR="00EF1D5B" w:rsidRPr="005756F1" w:rsidTr="000F05ED">
        <w:tc>
          <w:tcPr>
            <w:tcW w:w="3978" w:type="dxa"/>
            <w:shd w:val="clear" w:color="auto" w:fill="D2EAF1"/>
          </w:tcPr>
          <w:p w:rsidR="00EF1D5B" w:rsidRPr="00A875F3" w:rsidRDefault="005756F1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ПРЕДЛАГАЧ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ПРОПИСА</w:t>
            </w:r>
          </w:p>
        </w:tc>
        <w:tc>
          <w:tcPr>
            <w:tcW w:w="5598" w:type="dxa"/>
            <w:shd w:val="clear" w:color="auto" w:fill="D2EAF1"/>
          </w:tcPr>
          <w:p w:rsidR="00EF1D5B" w:rsidRPr="00B03AB1" w:rsidRDefault="00B03AB1" w:rsidP="00FB5E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Предсједник Општине Никшић</w:t>
            </w:r>
          </w:p>
        </w:tc>
      </w:tr>
      <w:tr w:rsidR="00EF1D5B" w:rsidRPr="005756F1" w:rsidTr="000F05ED">
        <w:tc>
          <w:tcPr>
            <w:tcW w:w="3978" w:type="dxa"/>
          </w:tcPr>
          <w:p w:rsidR="00EF1D5B" w:rsidRPr="00A875F3" w:rsidRDefault="005756F1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НАЗИВ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ПРОПИСА</w:t>
            </w:r>
          </w:p>
        </w:tc>
        <w:tc>
          <w:tcPr>
            <w:tcW w:w="5598" w:type="dxa"/>
          </w:tcPr>
          <w:p w:rsidR="00EF1D5B" w:rsidRPr="00D917CA" w:rsidRDefault="00D917CA" w:rsidP="003E5E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Одлука о рјешавању стамбених потреба </w:t>
            </w:r>
            <w:r w:rsidR="003E5EE5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на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основу права на социјално становање</w:t>
            </w: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1.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Дефинисање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</w:t>
            </w:r>
            <w:r w:rsidR="003C4D88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едица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захтјева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)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државном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нивоу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Навести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законски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основ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доношење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стратешким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документима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одступати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одредби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државном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нивоу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којој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мјери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ријеч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сопственим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надлежностима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пренесеном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повјереном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послу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треба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ријеши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акт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димензију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посебни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узроци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</w:t>
            </w:r>
            <w:r w:rsidR="00DA645F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едице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субјекти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оштећени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начин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којој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мјери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-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мушкарци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</w:t>
            </w:r>
          </w:p>
          <w:p w:rsidR="00EF1D5B" w:rsidRPr="00A875F3" w:rsidRDefault="005756F1" w:rsidP="00984C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еволуирао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без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промјене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(“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q</w:t>
            </w:r>
            <w:r w:rsidR="00984C72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)?</w:t>
            </w: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EF1D5B" w:rsidRPr="00A875F3" w:rsidRDefault="005756F1" w:rsidP="005F283F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</w:p>
          <w:p w:rsidR="00EF1D5B" w:rsidRPr="00A875F3" w:rsidRDefault="005756F1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Законски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основ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доношења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D917C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Одлук</w:t>
            </w:r>
            <w:r w:rsidR="00D917C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е</w:t>
            </w:r>
            <w:r w:rsidR="00D917C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о рјешавању стамбених потреба </w:t>
            </w:r>
            <w:r w:rsidR="00493E7D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на </w:t>
            </w:r>
            <w:r w:rsidR="00D917C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основу права на социјално становање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: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Закон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становању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„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Сл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ужбени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бр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ој</w:t>
            </w:r>
            <w:r w:rsidR="009355D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35/2013)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493E7D" w:rsidRDefault="005756F1" w:rsidP="00493E7D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одступити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одредби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државном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нивоу</w:t>
            </w:r>
            <w:r w:rsidR="00493E7D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већ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ближе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одредити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исте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</w:p>
          <w:p w:rsidR="00EF1D5B" w:rsidRPr="003E56B9" w:rsidRDefault="005756F1" w:rsidP="00493E7D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Ријеч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је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сопственим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надлежностима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односно</w:t>
            </w:r>
            <w:r w:rsidR="00EF1D5B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D917CA" w:rsidRPr="00493E7D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прецизнијем и јаснијем дефинисању 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услов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, начин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обезбјеђивања средстава, средст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ва, критеријум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, орган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и поступ</w:t>
            </w:r>
            <w:r w:rsid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ка</w:t>
            </w:r>
            <w:r w:rsidR="00493E7D" w:rsidRPr="00493E7D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за рјешавање 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стамбених потреба на основу права на социјално становање и других питања која су од значаја за социјално становање у складу са Законом о социјалном становању  и Локалним програмом социјалног становања.</w:t>
            </w:r>
          </w:p>
          <w:p w:rsidR="00EF1D5B" w:rsidRPr="003E56B9" w:rsidRDefault="005756F1" w:rsidP="003E56B9">
            <w:pPr>
              <w:ind w:firstLine="708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</w:pP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Предложеним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актом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тежи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се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493E7D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обезбјеђивању ефикасније расподјеле стамбених јединица односно 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обезбјеђивању становања одговарајућег стандарда 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ME"/>
              </w:rPr>
              <w:t>појединцима или домаћинствима која из социјалних, економских и других разлога не могу да ријеше пита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њ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ME"/>
              </w:rPr>
              <w:t>е станова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њ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ME"/>
              </w:rPr>
              <w:t>а</w:t>
            </w:r>
            <w:r w:rsidR="00493E7D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, у складу са законом.</w:t>
            </w:r>
          </w:p>
          <w:p w:rsidR="00EF1D5B" w:rsidRPr="003E56B9" w:rsidRDefault="005756F1" w:rsidP="003E56B9">
            <w:pPr>
              <w:ind w:firstLine="708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</w:pP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Проблем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има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родну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димензију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уколико особе женског пола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припадају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некој од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приоритетн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их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група</w:t>
            </w:r>
            <w:r w:rsidR="00DC5550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, сходно Закону о социјалном становању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односно сходно члану 4 </w:t>
            </w:r>
            <w:r w:rsidR="003E56B9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Одлуке, према којем п</w:t>
            </w:r>
            <w:r w:rsidR="003E56B9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риоритет у остваривању права на социјално становање нарочито имају: самохрани родитељи, односно старатељи, лица са инвалидитетом, лица преко 6</w:t>
            </w:r>
            <w:r w:rsidR="003E56B9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/>
              </w:rPr>
              <w:t>6</w:t>
            </w:r>
            <w:r w:rsidR="003E56B9" w:rsidRP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година живота, млади који су били дјеца без родитељског старања, породице са дјецом са сметњама у развоју, припадници Рома и Египћана, расељена лица, интерно расељена лица са Косова која бораве у Црној Гори, странац са сталним настањењем или привременим боравком који је имао признат статус расељеног лица или интерно расељеног лица и жртве насиља у породици</w:t>
            </w:r>
            <w:r w:rsidR="003E56B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.</w:t>
            </w:r>
          </w:p>
          <w:p w:rsidR="00EF1D5B" w:rsidRPr="00A875F3" w:rsidRDefault="005756F1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Узроци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проблема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су</w:t>
            </w:r>
            <w:r w:rsidR="00EF1D5B" w:rsidRPr="003E56B9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: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неадекватна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461690" w:rsidRPr="0046169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расподјела 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стамбених јединица, односно расподјела стамбених јединица без расписивања јавног позива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2D1A66" w:rsidRDefault="005756F1" w:rsidP="002D1A66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</w:t>
            </w:r>
            <w:r w:rsidR="00AB0E3D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л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едице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9E11A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: 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незаконска расподјела стамбених јединица, која не мора нужно условити и да је неправедна </w:t>
            </w:r>
            <w:r w:rsidR="00B03AB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(због хитности поступка, евентуалних захтјева за рјешавање стамбених питања од стране Центра за социјални рад...) 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али јесте без законског покрића</w:t>
            </w:r>
            <w:r w:rsidR="002D1A6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, 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па даље узрокује као последицу и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незаконско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коришћење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стамбених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јединица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5756F1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Субјекти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оштећени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: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органи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управе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,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2D1A6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носиоци станарских права и корисници стамбених јединица у општи</w:t>
            </w:r>
            <w:r w:rsidR="003E56B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нском влас</w:t>
            </w:r>
            <w:r w:rsidR="002D1A6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ништву,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угрожене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групе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грађана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CB297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lastRenderedPageBreak/>
              <w:t xml:space="preserve">појединци и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домаћинства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</w:t>
            </w:r>
            <w:r w:rsidR="00CB297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и/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CB2977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на тржишту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могу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CB2977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</w:t>
            </w:r>
            <w:r w:rsidR="00CB297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и/</w:t>
            </w:r>
            <w:r w:rsidR="00CB2977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а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ријешити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стамбени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</w:p>
          <w:p w:rsidR="00EF1D5B" w:rsidRPr="00CB2977" w:rsidRDefault="005756F1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случају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“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q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евалуирали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погледу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CB297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примјене бесправног и законски дефинисаног модела расподјеле стамбених јединица у власништву Општине и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немогућности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рјешавања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стамбених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потреба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угрожених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група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грађана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  <w:r w:rsidR="00CB297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</w:p>
          <w:p w:rsidR="00973BEB" w:rsidRPr="00A875F3" w:rsidRDefault="00973BEB" w:rsidP="00973B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 xml:space="preserve">2.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Циљеви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постижу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било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унапређује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равноправност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одговор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дефинисати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унапређује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равноправност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?)</w:t>
            </w:r>
          </w:p>
          <w:p w:rsidR="00EF1D5B" w:rsidRPr="00A875F3" w:rsidRDefault="00EF1D5B" w:rsidP="000F05E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CB2977" w:rsidRPr="00CB2977" w:rsidRDefault="003E5EE5" w:rsidP="003E5EE5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  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постижу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се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</w:t>
            </w:r>
            <w:r w:rsidR="008638F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RS"/>
              </w:rPr>
              <w:t>л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едећи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циљеви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: </w:t>
            </w:r>
          </w:p>
          <w:p w:rsidR="00CB2977" w:rsidRDefault="00CB2977" w:rsidP="00CB29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</w:pPr>
            <w:r w:rsidRPr="00CB2977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рјешавају стамбена питања физичких лица која немају стан у својини, сусвојини или заједничкој својини, односно други објекат за становање, односно лица чији стамбени објекат није одговарајућег стандарда у складу са законом и која из прихода које остварују не могу да ријеше стамбено питање, а која су црногорски држављани са уредно пријављеним пребивалиштем на подручју општине Никшић, најмање пет година у континуитету, ако испуњавају услове утврђене овом одлуком или страни држављани и лица без држављанства чији је статус ријешен у складу са законом, односно међународним уговором, у складу са чланом 3 Закона о социјалном становању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;</w:t>
            </w:r>
          </w:p>
          <w:p w:rsidR="00EF1D5B" w:rsidRPr="00CB2977" w:rsidRDefault="00CB2977" w:rsidP="00CB29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дефинишу начини обезбјеђивања социјалног становања, начини и критеријуми рјешавања стамбених потреба, поступак рјешавања истих али и поступак давања стамбених објеката на коришћење</w:t>
            </w:r>
            <w:r w:rsidR="00B03AB1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.</w:t>
            </w:r>
          </w:p>
          <w:p w:rsidR="00EF1D5B" w:rsidRPr="00A875F3" w:rsidRDefault="003E5EE5" w:rsidP="00CB2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       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Циљ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који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унапређује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родну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равноправност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„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лежи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“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управо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рјешавању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стамбених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потреба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приоритетних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група</w:t>
            </w:r>
            <w:r w:rsidR="00EF1D5B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CB297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грађана</w:t>
            </w:r>
            <w:r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.</w:t>
            </w:r>
          </w:p>
          <w:p w:rsidR="00EF1D5B" w:rsidRPr="00A875F3" w:rsidRDefault="00EF1D5B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EF1D5B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3.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Опције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Зашто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неопходан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? -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могуће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испуњавање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рјешавање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увијек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треба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разматрати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“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q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препоручљиво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укључити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нерегулаторну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осим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обавеза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доношења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предложеног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).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Образложити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преферирану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димензија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;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преферирана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унапређује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равноправност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: 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међу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женама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мушкарцима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?)</w:t>
            </w: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3C4D88" w:rsidRPr="00A875F3" w:rsidRDefault="003C4D88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3E5EE5" w:rsidP="003E5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  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овом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случају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законска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обавеза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доношења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сходно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Закону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становању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„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Сл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ужбени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”,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бр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ој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35/2013).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Дефинишући горе циљеве доношења исте, беспотре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б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но је понављати зашто је наведени пропис неопходан.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</w:p>
          <w:p w:rsidR="003E5EE5" w:rsidRDefault="005756F1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испуњавање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рјешавање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(“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q</w:t>
            </w:r>
            <w:r w:rsidR="003C4D88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”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</w:t>
            </w:r>
            <w:r w:rsidR="003E5EE5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су прописане самом обавезом доношења овог прописа, односно ове Одлуке. Тачније, сходно већ дефинисаној обавези, надлежни орган је само ближе одредио критеријуме за расподјелу стамбених јединица (односно критеријуме за услове и бодовање истих) и поступак додјеле стамбених јединица у закуп. </w:t>
            </w:r>
          </w:p>
          <w:p w:rsidR="00EF1D5B" w:rsidRPr="00A875F3" w:rsidRDefault="005756F1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сваком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сегменту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наведених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могу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ријешити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случају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„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q</w:t>
            </w:r>
            <w:r w:rsidR="008638F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“,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непосредно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посредно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дјеловати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реализацији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димензије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политике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становања</w:t>
            </w:r>
            <w:r w:rsidR="003E5EE5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у горе назначеним оквирима (приоритетне циљне групе, с тим да се бодовање спроводи у складу са прописаним критеријумима, па исто може бити ограничење без обзира на циљну групу)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</w:p>
          <w:p w:rsidR="00EF1D5B" w:rsidRPr="00A875F3" w:rsidRDefault="00EF1D5B" w:rsidP="003C4D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4.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Анализа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утицаја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кога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највјероватније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рјешења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-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набројати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позитивне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негативне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директне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индиректне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?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рјешења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позитивне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негативне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директне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индиректне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?)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трошкове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уштеде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примјена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изазвати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грађанима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привреди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нарочито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малим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средњим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предузећима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позитивне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посљедице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доношења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оправдавају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трошкове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створити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подржава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стварање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нових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привредних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субјеката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тржишту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тржишна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конкуренција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Укључити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процјену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административних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оптерећења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бизнис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баријера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EF1D5B" w:rsidP="000F05ED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4F4A19" w:rsidRDefault="004F4A19" w:rsidP="004F4A19">
            <w:p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   </w:t>
            </w:r>
            <w:r w:rsidR="003E5EE5" w:rsidRPr="004F4A1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Одлуком о рјешавању стамбених потреба на основу права на социјално становањ</w:t>
            </w:r>
            <w:r w:rsidRPr="004F4A1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е ће се утица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ти на појединце и породице који/е</w:t>
            </w:r>
            <w:r w:rsidRPr="004F4A19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немају стан у својини, сусвојини или заједничкој својини, односно други објекат за становање, односно лица чији стамбени објекат није одговарајућег стандарда у складу са законом и која из прихода које остварују не могу да ријеше стамбено питање, а која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задовољавају услове и критеријуме прописане Одлуком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Не може се издвојити посебан утицај на жене, нити позитиван нити негативан, нити директан нити индиректан, осим када су испоштовани услови и критеријуме прописани Одлуком а ради се о приоритетној циљној групи.</w:t>
            </w:r>
          </w:p>
          <w:p w:rsidR="00EF1D5B" w:rsidRPr="00A875F3" w:rsidRDefault="005756F1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Примјена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изазива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трошкове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уштеде</w:t>
            </w:r>
            <w:r w:rsidR="004F4A1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(осим трошкова који се односе на прикупљање неопходне документације од стране грађана, како би се пријавили на јавни позив)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5.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Процјена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фискалног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утицаја</w:t>
            </w:r>
          </w:p>
          <w:p w:rsidR="003C4D88" w:rsidRPr="00A875F3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утиче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висину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прихода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трошкова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потребно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обезбјеђење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финансијских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средстава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Црне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Горе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износу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обезбјеђење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финансијских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средстава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једнократно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током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одређеног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временског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периода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? 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Образложити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неопходна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финансијска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средства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обезбијеђена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Црне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Горе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текућу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фискалну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годину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планирана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наредну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фискалну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годину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остварити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приход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самоуправе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Црне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Горе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потенцијални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корисник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проценту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корисници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могли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мушкарци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?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буџета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може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узрок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неравноправности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између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мушкараца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?)</w:t>
            </w:r>
          </w:p>
          <w:p w:rsidR="00EF1D5B" w:rsidRPr="00A875F3" w:rsidRDefault="00EF1D5B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3C4D88" w:rsidRPr="00A875F3" w:rsidRDefault="003C4D88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4D322F" w:rsidRDefault="00910443" w:rsidP="004D322F">
            <w:pPr>
              <w:ind w:firstLine="708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</w:pPr>
            <w:r w:rsidRPr="004F4A1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Одлуком о рјешавању стамбених потреба на основу права на социјално становање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утиче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се </w:t>
            </w:r>
            <w:r w:rsidR="005756F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директно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висину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прихода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или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трошкова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локалне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самоуправе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што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не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значи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да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се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исти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не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могу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појавити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случају настанка потребе за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рјешавањ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ем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проблема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пољу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социјалног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становања</w:t>
            </w:r>
            <w:r w:rsidR="00EF1D5B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. 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Како </w:t>
            </w:r>
            <w:r w:rsidR="004D322F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ј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е чланом 4 Одлуке дефини</w:t>
            </w:r>
            <w:r w:rsidR="004D322F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сано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 да се с</w:t>
            </w:r>
            <w:r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редства за рјешавање стамбених потреба на основу права из социјалног становања могу обезбјеђивати из</w:t>
            </w:r>
            <w:r w:rsidR="004D322F"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</w:t>
            </w:r>
            <w:r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буџета Црне Горе</w:t>
            </w:r>
            <w:r w:rsidR="004D322F"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, </w:t>
            </w:r>
            <w:r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буџета Општине Никшић</w:t>
            </w:r>
            <w:r w:rsidR="004D322F"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, </w:t>
            </w:r>
            <w:r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донација</w:t>
            </w:r>
            <w:r w:rsidR="004D322F"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 и </w:t>
            </w:r>
            <w:r w:rsidRP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 xml:space="preserve">других извора, </w:t>
            </w:r>
            <w:r w:rsidR="004D322F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то у случају потребе рјешавања проблема на пољу социјалног становања могу настати трошкови по локалну самоуправу, као што могу настати и приходи, јер се средства могу обезбиједити из других извора.</w:t>
            </w:r>
          </w:p>
          <w:p w:rsidR="00EF1D5B" w:rsidRPr="00050721" w:rsidRDefault="00EF1D5B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Обезбјеђење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финансијских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средстава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из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буџета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локалних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самоуправа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односно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буџета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Црне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5756F1"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Горе</w:t>
            </w:r>
            <w:r w:rsid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,</w:t>
            </w:r>
            <w:r w:rsidRP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није прописано као обавезно, већ као потребно и могуће како би се ре</w:t>
            </w:r>
            <w:r w:rsidR="008638F7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а</w:t>
            </w:r>
            <w:r w:rsidR="004D322F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лизовали циљеви саме Одлуке. Сходно томе, у случају утврђивања потребе за рјешавањем стамбених питања грађана, а финансијских могућности да се дјелује на овом пољу, </w:t>
            </w:r>
            <w:r w:rsidR="00AF6CEA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било би потребно и пожељно обезбиједити потребна финансијска средства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.</w:t>
            </w:r>
          </w:p>
          <w:p w:rsidR="00EF1D5B" w:rsidRPr="00050721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</w:pP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Буџетом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Општине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Никшић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202</w:t>
            </w:r>
            <w:r w:rsidR="00C03D3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2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.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годину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нијесу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обезбијеђена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финансијска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средства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имплементацију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ове Одлуке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. </w:t>
            </w:r>
            <w:r w:rsidR="0005072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Међутим, ако се у обзир узима сама проблематика социјалног становања, може се истаћи да је буџетом за наредну годину опредијељено 3.000,00</w:t>
            </w:r>
            <w:r w:rsidR="00050721" w:rsidRPr="0005072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ME"/>
              </w:rPr>
              <w:t xml:space="preserve">€ за социјално становање и 5.000,00€ за рјешавање стамбених питања младих, младих брачних </w:t>
            </w:r>
            <w:r w:rsidR="00050721" w:rsidRPr="0005072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ME"/>
              </w:rPr>
              <w:lastRenderedPageBreak/>
              <w:t>парова, дефицитарног стручног кадра из јавног сектора и осталих корисника, по основу пројекта „Никшић је моја адреса“.</w:t>
            </w:r>
          </w:p>
          <w:p w:rsidR="00EF1D5B" w:rsidRPr="00050721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Сходно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томе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да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финансијска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средства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имплементацију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планираних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активности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пројеката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нијесу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обезбијеђена</w:t>
            </w:r>
            <w:r w:rsidR="0005072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 директно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буџетом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Општине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Никшић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за</w:t>
            </w:r>
            <w:r w:rsidR="00C03D3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2022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.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годину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="0005072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као намјенска средства за реализацију </w:t>
            </w:r>
            <w:r w:rsidR="00AF6CEA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Одлуке</w:t>
            </w:r>
            <w:r w:rsidR="00050721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 xml:space="preserve">,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нема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процјене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утицаја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истог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мушкарце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жене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,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нити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узрока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њихове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неравноправности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.</w:t>
            </w:r>
          </w:p>
          <w:p w:rsidR="00EF1D5B" w:rsidRPr="00050721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</w:p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 xml:space="preserve">6.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заинтересованих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страна</w:t>
            </w:r>
          </w:p>
          <w:p w:rsidR="003C4D88" w:rsidRPr="00A875F3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Назначити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коришћена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екстерна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експертска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подршка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Назначити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групе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заинтересованих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страна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консултоване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којој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фази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процеса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(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јавне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циљане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).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представнице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женских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удружења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рањивих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група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биле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укључене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Назначити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главне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резултате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предлози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сугестије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заинтересованих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страна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прихваћени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односно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нијесу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прихваћени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Образложити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EF1D5B" w:rsidRPr="00A875F3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Екстерна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експертска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подршка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коришћена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приликом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израде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али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била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неопходна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сагласност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Министарства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финансија и социјалног старања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сходно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Закону о социјалном становању, а неопходно је поменути да смо од наведеног Министарства добили подршку и сугестије на пропис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поступку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припреме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ове Одлуке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Секретаријат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културу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спорт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младе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старање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извршио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свим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органима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управе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имају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додирних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тачака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политиком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социјалног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становања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, а посредством претходно формиране Радне групе за израду исте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. </w:t>
            </w:r>
          </w:p>
          <w:p w:rsidR="00EF1D5B" w:rsidRPr="00050721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Представници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женских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удружења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рањивих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група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нијесу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укључени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току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креирања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.</w:t>
            </w:r>
          </w:p>
          <w:p w:rsidR="00EF1D5B" w:rsidRPr="00050721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Предлога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сугестија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за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израду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ME"/>
              </w:rPr>
              <w:t>Одлуке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није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 </w:t>
            </w:r>
            <w:r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било</w:t>
            </w:r>
            <w:r w:rsidR="00EF1D5B" w:rsidRPr="0005072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>.</w:t>
            </w:r>
          </w:p>
          <w:p w:rsidR="00050721" w:rsidRDefault="00050721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050721" w:rsidRPr="00050721" w:rsidRDefault="00050721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</w:tc>
      </w:tr>
      <w:tr w:rsidR="00EF1D5B" w:rsidRPr="005756F1" w:rsidTr="000F05ED">
        <w:tc>
          <w:tcPr>
            <w:tcW w:w="9576" w:type="dxa"/>
            <w:gridSpan w:val="2"/>
            <w:shd w:val="clear" w:color="auto" w:fill="D2EAF1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7.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Мониторинг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5756F1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евалуација</w:t>
            </w:r>
          </w:p>
          <w:p w:rsidR="003C4D88" w:rsidRPr="00A875F3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потенцијалне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препреке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? 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главни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индикатори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мјерити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испуњење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  <w:p w:rsidR="00EF1D5B" w:rsidRPr="00A875F3" w:rsidRDefault="005756F1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задужен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спровођење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мониторинга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евалуације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примјене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?</w:t>
            </w:r>
          </w:p>
        </w:tc>
      </w:tr>
      <w:tr w:rsidR="00EF1D5B" w:rsidRPr="005756F1" w:rsidTr="000F05ED">
        <w:tc>
          <w:tcPr>
            <w:tcW w:w="9576" w:type="dxa"/>
            <w:gridSpan w:val="2"/>
          </w:tcPr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Потенцијалне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препреке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Одлуке: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8C4138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неадекватно извршавање обавеза од стране 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надлежног</w:t>
            </w:r>
            <w:r w:rsidR="008C4138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органа локалне управе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или </w:t>
            </w:r>
            <w:r w:rsidR="00AF6CEA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неадекватно извршавање обавеза од стране</w:t>
            </w:r>
            <w:r w:rsidR="00265909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Комисије, формиране у складу</w:t>
            </w:r>
            <w:r w:rsidR="00AF6CE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са Одлуком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25B34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Главни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индикатор</w:t>
            </w:r>
            <w:r w:rsidR="0055637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</w:t>
            </w:r>
            <w:r w:rsidR="0055637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јима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мјерити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испуњење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циљева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8C4138" w:rsidRPr="008C41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су</w:t>
            </w:r>
            <w:r w:rsidR="008C41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:</w:t>
            </w:r>
            <w:r w:rsidR="008C4138" w:rsidRPr="008C41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F23EE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евиденција обавеза надлежног органа локалне управе на пољу социјалног становања, </w:t>
            </w:r>
            <w:r w:rsidR="008C4138" w:rsidRPr="008C41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евиденција рада Комисије, записници Комисије</w:t>
            </w:r>
            <w:r w:rsidR="008C41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,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F23EE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расписани јавни позиви, бодовне листе и други извјештаји рада Комисије, одлука/е Предсједника сходно предлогу Комисије, додијељене стамбене јединице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  <w:r w:rsidR="00A25B3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</w:p>
          <w:p w:rsidR="00EF1D5B" w:rsidRPr="00A875F3" w:rsidRDefault="005756F1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спровођење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мониторинга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евалуације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примјене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F23EE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Одлуке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биће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задужен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Секретаријат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културу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спорт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,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младе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социјално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старање</w:t>
            </w:r>
            <w:r w:rsidR="00EF1D5B" w:rsidRPr="00A875F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EF1D5B" w:rsidRPr="00A875F3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</w:tbl>
    <w:p w:rsidR="00EF1D5B" w:rsidRPr="005756F1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noProof/>
          <w:sz w:val="20"/>
          <w:szCs w:val="20"/>
          <w:lang w:val="sr-Cyrl-CS"/>
        </w:rPr>
      </w:pPr>
    </w:p>
    <w:p w:rsidR="00EF1D5B" w:rsidRDefault="00EF1D5B">
      <w:pPr>
        <w:rPr>
          <w:rFonts w:ascii="Arial" w:hAnsi="Arial" w:cs="Arial"/>
          <w:b/>
          <w:noProof/>
          <w:lang w:val="sr-Cyrl-CS"/>
        </w:rPr>
      </w:pPr>
    </w:p>
    <w:p w:rsidR="00A25B34" w:rsidRPr="005756F1" w:rsidRDefault="00A25B34">
      <w:pPr>
        <w:rPr>
          <w:rFonts w:ascii="Arial" w:hAnsi="Arial" w:cs="Arial"/>
          <w:b/>
          <w:noProof/>
          <w:lang w:val="sr-Cyrl-CS"/>
        </w:rPr>
      </w:pPr>
    </w:p>
    <w:p w:rsidR="00EF1D5B" w:rsidRPr="00A875F3" w:rsidRDefault="001F1799">
      <w:pPr>
        <w:rPr>
          <w:rFonts w:ascii="Arial" w:hAnsi="Arial" w:cs="Arial"/>
          <w:b/>
          <w:color w:val="17365D"/>
        </w:rPr>
      </w:pPr>
      <w:proofErr w:type="spellStart"/>
      <w:r w:rsidRPr="00A875F3">
        <w:rPr>
          <w:rFonts w:ascii="Arial" w:hAnsi="Arial" w:cs="Arial"/>
          <w:b/>
          <w:color w:val="17365D"/>
        </w:rPr>
        <w:t>Датум</w:t>
      </w:r>
      <w:proofErr w:type="spellEnd"/>
      <w:r w:rsidRPr="00A875F3">
        <w:rPr>
          <w:rFonts w:ascii="Arial" w:hAnsi="Arial" w:cs="Arial"/>
          <w:b/>
          <w:color w:val="17365D"/>
        </w:rPr>
        <w:t xml:space="preserve"> и </w:t>
      </w:r>
      <w:proofErr w:type="spellStart"/>
      <w:r w:rsidRPr="00A875F3">
        <w:rPr>
          <w:rFonts w:ascii="Arial" w:hAnsi="Arial" w:cs="Arial"/>
          <w:b/>
          <w:color w:val="17365D"/>
        </w:rPr>
        <w:t>мјесто</w:t>
      </w:r>
      <w:proofErr w:type="spellEnd"/>
      <w:r w:rsidR="00EF1D5B" w:rsidRPr="00A875F3">
        <w:rPr>
          <w:rFonts w:ascii="Arial" w:hAnsi="Arial" w:cs="Arial"/>
          <w:b/>
          <w:color w:val="17365D"/>
        </w:rPr>
        <w:tab/>
      </w:r>
      <w:r w:rsidR="00EF1D5B" w:rsidRPr="00A875F3">
        <w:rPr>
          <w:rFonts w:ascii="Arial" w:hAnsi="Arial" w:cs="Arial"/>
          <w:b/>
          <w:color w:val="17365D"/>
        </w:rPr>
        <w:tab/>
      </w:r>
      <w:r w:rsidR="00EF1D5B" w:rsidRPr="00A875F3">
        <w:rPr>
          <w:rFonts w:ascii="Arial" w:hAnsi="Arial" w:cs="Arial"/>
          <w:b/>
          <w:color w:val="17365D"/>
        </w:rPr>
        <w:tab/>
      </w:r>
      <w:r w:rsidR="00EF1D5B" w:rsidRPr="00A875F3">
        <w:rPr>
          <w:rFonts w:ascii="Arial" w:hAnsi="Arial" w:cs="Arial"/>
          <w:b/>
          <w:color w:val="17365D"/>
        </w:rPr>
        <w:tab/>
      </w:r>
      <w:r w:rsidR="00EF1D5B" w:rsidRPr="00A875F3">
        <w:rPr>
          <w:rFonts w:ascii="Arial" w:hAnsi="Arial" w:cs="Arial"/>
          <w:b/>
          <w:color w:val="17365D"/>
        </w:rPr>
        <w:tab/>
      </w:r>
      <w:r w:rsidR="00EF1D5B" w:rsidRPr="00A875F3">
        <w:rPr>
          <w:rFonts w:ascii="Arial" w:hAnsi="Arial" w:cs="Arial"/>
          <w:b/>
          <w:color w:val="17365D"/>
        </w:rPr>
        <w:tab/>
        <w:t xml:space="preserve">   </w:t>
      </w:r>
      <w:r w:rsidRPr="00A875F3">
        <w:rPr>
          <w:rFonts w:ascii="Arial" w:hAnsi="Arial" w:cs="Arial"/>
          <w:b/>
          <w:color w:val="17365D"/>
        </w:rPr>
        <w:t xml:space="preserve">  </w:t>
      </w:r>
      <w:r w:rsidR="00EF1D5B" w:rsidRPr="00A875F3">
        <w:rPr>
          <w:rFonts w:ascii="Arial" w:hAnsi="Arial" w:cs="Arial"/>
          <w:b/>
          <w:color w:val="17365D"/>
        </w:rPr>
        <w:t xml:space="preserve">  </w:t>
      </w:r>
      <w:r w:rsidR="00821160">
        <w:rPr>
          <w:rFonts w:ascii="Arial" w:hAnsi="Arial" w:cs="Arial"/>
          <w:b/>
          <w:color w:val="17365D"/>
        </w:rPr>
        <w:tab/>
      </w:r>
      <w:r w:rsidR="00821160">
        <w:rPr>
          <w:rFonts w:ascii="Arial" w:hAnsi="Arial" w:cs="Arial"/>
          <w:b/>
          <w:color w:val="17365D"/>
          <w:lang w:val="sr-Cyrl-RS"/>
        </w:rPr>
        <w:t xml:space="preserve">  </w:t>
      </w:r>
      <w:r w:rsidR="00821160">
        <w:rPr>
          <w:rFonts w:ascii="Arial" w:hAnsi="Arial" w:cs="Arial"/>
          <w:b/>
          <w:color w:val="17365D"/>
          <w:lang w:val="sr-Cyrl-RS"/>
        </w:rPr>
        <w:t>СТАРЈЕШИНА</w:t>
      </w:r>
    </w:p>
    <w:p w:rsidR="00EF1D5B" w:rsidRPr="005756F1" w:rsidRDefault="00EF1D5B">
      <w:pPr>
        <w:rPr>
          <w:rFonts w:ascii="Arial" w:hAnsi="Arial" w:cs="Arial"/>
          <w:noProof/>
          <w:lang w:val="sr-Cyrl-CS"/>
        </w:rPr>
      </w:pPr>
    </w:p>
    <w:p w:rsidR="00EF1D5B" w:rsidRPr="005756F1" w:rsidRDefault="001F1799">
      <w:pPr>
        <w:rPr>
          <w:rFonts w:ascii="Arial" w:hAnsi="Arial" w:cs="Arial"/>
          <w:noProof/>
          <w:lang w:val="sr-Cyrl-CS"/>
        </w:rPr>
      </w:pPr>
      <w:proofErr w:type="spellStart"/>
      <w:r w:rsidRPr="00A875F3">
        <w:rPr>
          <w:rFonts w:ascii="Arial" w:hAnsi="Arial" w:cs="Arial"/>
          <w:color w:val="17365D"/>
        </w:rPr>
        <w:t>Никшић</w:t>
      </w:r>
      <w:proofErr w:type="spellEnd"/>
      <w:r w:rsidR="00EF1D5B" w:rsidRPr="00A875F3">
        <w:rPr>
          <w:rFonts w:ascii="Arial" w:hAnsi="Arial" w:cs="Arial"/>
          <w:color w:val="17365D"/>
        </w:rPr>
        <w:t xml:space="preserve">, </w:t>
      </w:r>
      <w:r w:rsidR="00A25B34">
        <w:rPr>
          <w:rFonts w:ascii="Arial" w:hAnsi="Arial" w:cs="Arial"/>
          <w:color w:val="17365D"/>
          <w:lang w:val="sr-Cyrl-ME"/>
        </w:rPr>
        <w:t>01.03.2022</w:t>
      </w:r>
      <w:r w:rsidR="00EF1D5B" w:rsidRPr="00A875F3">
        <w:rPr>
          <w:rFonts w:ascii="Arial" w:hAnsi="Arial" w:cs="Arial"/>
          <w:color w:val="17365D"/>
        </w:rPr>
        <w:t>.</w:t>
      </w:r>
      <w:r w:rsidR="00EF1D5B" w:rsidRPr="00A875F3">
        <w:rPr>
          <w:rFonts w:ascii="Arial" w:hAnsi="Arial" w:cs="Arial"/>
          <w:color w:val="17365D"/>
        </w:rPr>
        <w:tab/>
      </w:r>
      <w:r w:rsidR="00EF1D5B" w:rsidRPr="00A875F3">
        <w:rPr>
          <w:rFonts w:ascii="Arial" w:hAnsi="Arial" w:cs="Arial"/>
          <w:color w:val="17365D"/>
        </w:rPr>
        <w:tab/>
      </w:r>
      <w:r w:rsidR="00EF1D5B" w:rsidRPr="00A875F3">
        <w:rPr>
          <w:rFonts w:ascii="Arial" w:hAnsi="Arial" w:cs="Arial"/>
          <w:color w:val="17365D"/>
        </w:rPr>
        <w:tab/>
      </w:r>
      <w:r w:rsidR="00EF1D5B" w:rsidRPr="00A875F3">
        <w:rPr>
          <w:rFonts w:ascii="Arial" w:hAnsi="Arial" w:cs="Arial"/>
          <w:color w:val="17365D"/>
        </w:rPr>
        <w:tab/>
        <w:t xml:space="preserve">        </w:t>
      </w:r>
      <w:r w:rsidR="00EF1D5B" w:rsidRPr="00A875F3">
        <w:rPr>
          <w:rFonts w:ascii="Arial" w:hAnsi="Arial" w:cs="Arial"/>
          <w:color w:val="17365D"/>
        </w:rPr>
        <w:tab/>
      </w:r>
      <w:r w:rsidR="00A25B34">
        <w:rPr>
          <w:rFonts w:ascii="Arial" w:hAnsi="Arial" w:cs="Arial"/>
          <w:color w:val="17365D"/>
          <w:lang w:val="sr-Cyrl-ME"/>
        </w:rPr>
        <w:t xml:space="preserve">     </w:t>
      </w:r>
      <w:r w:rsidR="00EF1D5B" w:rsidRPr="00A875F3">
        <w:rPr>
          <w:rFonts w:ascii="Arial" w:hAnsi="Arial" w:cs="Arial"/>
          <w:color w:val="17365D"/>
        </w:rPr>
        <w:tab/>
        <w:t xml:space="preserve">  </w:t>
      </w:r>
      <w:r w:rsidR="00821160">
        <w:rPr>
          <w:rFonts w:ascii="Arial" w:hAnsi="Arial" w:cs="Arial"/>
          <w:color w:val="17365D"/>
          <w:lang w:val="sr-Cyrl-ME"/>
        </w:rPr>
        <w:t>Д</w:t>
      </w:r>
      <w:r w:rsidR="00821160">
        <w:rPr>
          <w:rFonts w:ascii="Arial" w:hAnsi="Arial" w:cs="Arial"/>
          <w:color w:val="17365D"/>
          <w:lang w:val="sr-Cyrl-RS"/>
        </w:rPr>
        <w:t>ејан Ивановић</w:t>
      </w:r>
      <w:r w:rsidR="00674B6A">
        <w:rPr>
          <w:rFonts w:ascii="Arial" w:hAnsi="Arial" w:cs="Arial"/>
          <w:color w:val="17365D"/>
          <w:lang w:val="sr-Cyrl-RS"/>
        </w:rPr>
        <w:t>, с.р.</w:t>
      </w:r>
      <w:bookmarkStart w:id="0" w:name="_GoBack"/>
      <w:bookmarkEnd w:id="0"/>
      <w:r w:rsidR="00EF1D5B" w:rsidRPr="00A875F3">
        <w:rPr>
          <w:rFonts w:ascii="Arial" w:hAnsi="Arial" w:cs="Arial"/>
          <w:color w:val="17365D"/>
        </w:rPr>
        <w:tab/>
      </w:r>
      <w:r w:rsidR="00EF1D5B" w:rsidRPr="00A875F3">
        <w:rPr>
          <w:rFonts w:ascii="Arial" w:hAnsi="Arial" w:cs="Arial"/>
          <w:color w:val="17365D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  <w:r w:rsidR="00EF1D5B" w:rsidRPr="005756F1">
        <w:rPr>
          <w:rFonts w:ascii="Arial" w:hAnsi="Arial" w:cs="Arial"/>
          <w:noProof/>
          <w:lang w:val="sr-Cyrl-CS"/>
        </w:rPr>
        <w:tab/>
      </w:r>
    </w:p>
    <w:p w:rsidR="00EF1D5B" w:rsidRPr="005756F1" w:rsidRDefault="00EF1D5B">
      <w:pPr>
        <w:rPr>
          <w:rFonts w:ascii="Arial" w:hAnsi="Arial" w:cs="Arial"/>
          <w:noProof/>
          <w:lang w:val="sr-Cyrl-CS"/>
        </w:rPr>
      </w:pPr>
    </w:p>
    <w:sectPr w:rsidR="00EF1D5B" w:rsidRPr="005756F1" w:rsidSect="00322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A3" w:rsidRDefault="00C777A3" w:rsidP="00BA7396">
      <w:r>
        <w:separator/>
      </w:r>
    </w:p>
  </w:endnote>
  <w:endnote w:type="continuationSeparator" w:id="0">
    <w:p w:rsidR="00C777A3" w:rsidRDefault="00C777A3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A3" w:rsidRDefault="00C777A3" w:rsidP="00BA7396">
      <w:r>
        <w:separator/>
      </w:r>
    </w:p>
  </w:footnote>
  <w:footnote w:type="continuationSeparator" w:id="0">
    <w:p w:rsidR="00C777A3" w:rsidRDefault="00C777A3" w:rsidP="00BA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F1" w:rsidRDefault="00575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223"/>
    <w:multiLevelType w:val="multilevel"/>
    <w:tmpl w:val="4B1608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F77"/>
    <w:multiLevelType w:val="multilevel"/>
    <w:tmpl w:val="4B160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A02868"/>
    <w:multiLevelType w:val="multilevel"/>
    <w:tmpl w:val="CC2E7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5D2C"/>
    <w:multiLevelType w:val="multilevel"/>
    <w:tmpl w:val="68E220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E3D0805"/>
    <w:multiLevelType w:val="multilevel"/>
    <w:tmpl w:val="A050B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4061999"/>
    <w:multiLevelType w:val="hybridMultilevel"/>
    <w:tmpl w:val="857C85A2"/>
    <w:lvl w:ilvl="0" w:tplc="372613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7AF507F"/>
    <w:multiLevelType w:val="hybridMultilevel"/>
    <w:tmpl w:val="9F5CF4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A173F"/>
    <w:multiLevelType w:val="multilevel"/>
    <w:tmpl w:val="4B1608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1509B"/>
    <w:multiLevelType w:val="multilevel"/>
    <w:tmpl w:val="03C4C1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76E3940"/>
    <w:multiLevelType w:val="hybridMultilevel"/>
    <w:tmpl w:val="76B69B00"/>
    <w:lvl w:ilvl="0" w:tplc="08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0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5"/>
  </w:num>
  <w:num w:numId="12">
    <w:abstractNumId w:val="9"/>
  </w:num>
  <w:num w:numId="13">
    <w:abstractNumId w:val="16"/>
  </w:num>
  <w:num w:numId="14">
    <w:abstractNumId w:val="16"/>
  </w:num>
  <w:num w:numId="15">
    <w:abstractNumId w:val="8"/>
  </w:num>
  <w:num w:numId="16">
    <w:abstractNumId w:val="23"/>
  </w:num>
  <w:num w:numId="17">
    <w:abstractNumId w:val="13"/>
  </w:num>
  <w:num w:numId="18">
    <w:abstractNumId w:val="6"/>
  </w:num>
  <w:num w:numId="19">
    <w:abstractNumId w:val="2"/>
  </w:num>
  <w:num w:numId="20">
    <w:abstractNumId w:val="19"/>
  </w:num>
  <w:num w:numId="21">
    <w:abstractNumId w:val="12"/>
  </w:num>
  <w:num w:numId="22">
    <w:abstractNumId w:val="21"/>
  </w:num>
  <w:num w:numId="23">
    <w:abstractNumId w:val="7"/>
  </w:num>
  <w:num w:numId="24">
    <w:abstractNumId w:val="14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33473"/>
    <w:rsid w:val="00043CCD"/>
    <w:rsid w:val="00050721"/>
    <w:rsid w:val="000511F0"/>
    <w:rsid w:val="000562D6"/>
    <w:rsid w:val="000629D8"/>
    <w:rsid w:val="00067FCF"/>
    <w:rsid w:val="000716AC"/>
    <w:rsid w:val="00075306"/>
    <w:rsid w:val="000E5392"/>
    <w:rsid w:val="000E7E95"/>
    <w:rsid w:val="000E7FBD"/>
    <w:rsid w:val="000F05ED"/>
    <w:rsid w:val="00136E1D"/>
    <w:rsid w:val="00154647"/>
    <w:rsid w:val="00162BB1"/>
    <w:rsid w:val="001C7348"/>
    <w:rsid w:val="001D0BF0"/>
    <w:rsid w:val="001E1794"/>
    <w:rsid w:val="001E3E69"/>
    <w:rsid w:val="001F1799"/>
    <w:rsid w:val="001F4328"/>
    <w:rsid w:val="002072BA"/>
    <w:rsid w:val="002251D6"/>
    <w:rsid w:val="00235BF5"/>
    <w:rsid w:val="00244B91"/>
    <w:rsid w:val="00265909"/>
    <w:rsid w:val="00267C7D"/>
    <w:rsid w:val="00282840"/>
    <w:rsid w:val="00284A91"/>
    <w:rsid w:val="00294662"/>
    <w:rsid w:val="00295023"/>
    <w:rsid w:val="002A6869"/>
    <w:rsid w:val="002D1A66"/>
    <w:rsid w:val="002D6A36"/>
    <w:rsid w:val="002E7569"/>
    <w:rsid w:val="00310915"/>
    <w:rsid w:val="00322389"/>
    <w:rsid w:val="00357476"/>
    <w:rsid w:val="003843F6"/>
    <w:rsid w:val="00392F99"/>
    <w:rsid w:val="00395587"/>
    <w:rsid w:val="003C4D88"/>
    <w:rsid w:val="003E2C66"/>
    <w:rsid w:val="003E56B9"/>
    <w:rsid w:val="003E5EE5"/>
    <w:rsid w:val="003F334E"/>
    <w:rsid w:val="00461690"/>
    <w:rsid w:val="0047459A"/>
    <w:rsid w:val="00493E7D"/>
    <w:rsid w:val="00494A64"/>
    <w:rsid w:val="004A4396"/>
    <w:rsid w:val="004B549B"/>
    <w:rsid w:val="004D322F"/>
    <w:rsid w:val="004E1351"/>
    <w:rsid w:val="004F4A19"/>
    <w:rsid w:val="004F4F9C"/>
    <w:rsid w:val="00504237"/>
    <w:rsid w:val="0054756C"/>
    <w:rsid w:val="00556373"/>
    <w:rsid w:val="005756F1"/>
    <w:rsid w:val="005805F3"/>
    <w:rsid w:val="005C4266"/>
    <w:rsid w:val="005D43E5"/>
    <w:rsid w:val="005F00B7"/>
    <w:rsid w:val="005F03ED"/>
    <w:rsid w:val="005F283F"/>
    <w:rsid w:val="005F6D49"/>
    <w:rsid w:val="00601210"/>
    <w:rsid w:val="006129CD"/>
    <w:rsid w:val="00655AF0"/>
    <w:rsid w:val="006710AA"/>
    <w:rsid w:val="006729C3"/>
    <w:rsid w:val="00673F68"/>
    <w:rsid w:val="00674B6A"/>
    <w:rsid w:val="00681DE1"/>
    <w:rsid w:val="00692025"/>
    <w:rsid w:val="006A1B2C"/>
    <w:rsid w:val="006A3B25"/>
    <w:rsid w:val="006A3B76"/>
    <w:rsid w:val="006B4020"/>
    <w:rsid w:val="006C4F93"/>
    <w:rsid w:val="006E4E97"/>
    <w:rsid w:val="006F1605"/>
    <w:rsid w:val="00702CFF"/>
    <w:rsid w:val="007043B6"/>
    <w:rsid w:val="00705E35"/>
    <w:rsid w:val="00721692"/>
    <w:rsid w:val="00721DB9"/>
    <w:rsid w:val="00722885"/>
    <w:rsid w:val="00732071"/>
    <w:rsid w:val="00733149"/>
    <w:rsid w:val="00736E8D"/>
    <w:rsid w:val="00741A35"/>
    <w:rsid w:val="00762C49"/>
    <w:rsid w:val="007849D1"/>
    <w:rsid w:val="007A1C7D"/>
    <w:rsid w:val="007C12EB"/>
    <w:rsid w:val="007D05DC"/>
    <w:rsid w:val="008169A7"/>
    <w:rsid w:val="00821160"/>
    <w:rsid w:val="008301C9"/>
    <w:rsid w:val="008322D4"/>
    <w:rsid w:val="00833765"/>
    <w:rsid w:val="0085327D"/>
    <w:rsid w:val="008638F7"/>
    <w:rsid w:val="00871235"/>
    <w:rsid w:val="008A2781"/>
    <w:rsid w:val="008B09E9"/>
    <w:rsid w:val="008C0535"/>
    <w:rsid w:val="008C4138"/>
    <w:rsid w:val="008E4862"/>
    <w:rsid w:val="008E6C79"/>
    <w:rsid w:val="008F47BD"/>
    <w:rsid w:val="00910443"/>
    <w:rsid w:val="0091493A"/>
    <w:rsid w:val="009355D1"/>
    <w:rsid w:val="009535C3"/>
    <w:rsid w:val="00960A46"/>
    <w:rsid w:val="00972845"/>
    <w:rsid w:val="00973BEB"/>
    <w:rsid w:val="00981466"/>
    <w:rsid w:val="00984C72"/>
    <w:rsid w:val="009874EB"/>
    <w:rsid w:val="009E11A4"/>
    <w:rsid w:val="009F7E4C"/>
    <w:rsid w:val="00A07773"/>
    <w:rsid w:val="00A25B34"/>
    <w:rsid w:val="00A265F9"/>
    <w:rsid w:val="00A34E9B"/>
    <w:rsid w:val="00A71595"/>
    <w:rsid w:val="00A875F3"/>
    <w:rsid w:val="00AA117E"/>
    <w:rsid w:val="00AB0E3D"/>
    <w:rsid w:val="00AB7D62"/>
    <w:rsid w:val="00AC6578"/>
    <w:rsid w:val="00AD100C"/>
    <w:rsid w:val="00AF06EA"/>
    <w:rsid w:val="00AF6CEA"/>
    <w:rsid w:val="00B03AB1"/>
    <w:rsid w:val="00B2646E"/>
    <w:rsid w:val="00B3542B"/>
    <w:rsid w:val="00B40AA1"/>
    <w:rsid w:val="00B535B4"/>
    <w:rsid w:val="00B7089B"/>
    <w:rsid w:val="00BA7396"/>
    <w:rsid w:val="00BA7877"/>
    <w:rsid w:val="00BD4282"/>
    <w:rsid w:val="00BE11B9"/>
    <w:rsid w:val="00C03D31"/>
    <w:rsid w:val="00C111D8"/>
    <w:rsid w:val="00C179F9"/>
    <w:rsid w:val="00C450DD"/>
    <w:rsid w:val="00C5148C"/>
    <w:rsid w:val="00C549B4"/>
    <w:rsid w:val="00C72668"/>
    <w:rsid w:val="00C75DF0"/>
    <w:rsid w:val="00C773E3"/>
    <w:rsid w:val="00C777A3"/>
    <w:rsid w:val="00C87DA2"/>
    <w:rsid w:val="00CB2977"/>
    <w:rsid w:val="00CB71B8"/>
    <w:rsid w:val="00D06D2A"/>
    <w:rsid w:val="00D25692"/>
    <w:rsid w:val="00D2720B"/>
    <w:rsid w:val="00D27C82"/>
    <w:rsid w:val="00D36EDF"/>
    <w:rsid w:val="00D4308A"/>
    <w:rsid w:val="00D77412"/>
    <w:rsid w:val="00D87CB1"/>
    <w:rsid w:val="00D917CA"/>
    <w:rsid w:val="00DA645F"/>
    <w:rsid w:val="00DB1891"/>
    <w:rsid w:val="00DC5550"/>
    <w:rsid w:val="00DE0308"/>
    <w:rsid w:val="00E3478E"/>
    <w:rsid w:val="00E61671"/>
    <w:rsid w:val="00E721E9"/>
    <w:rsid w:val="00E80201"/>
    <w:rsid w:val="00E939CC"/>
    <w:rsid w:val="00EA3400"/>
    <w:rsid w:val="00EC58BD"/>
    <w:rsid w:val="00ED0AF4"/>
    <w:rsid w:val="00ED0F74"/>
    <w:rsid w:val="00ED4766"/>
    <w:rsid w:val="00EF1D5B"/>
    <w:rsid w:val="00EF4710"/>
    <w:rsid w:val="00EF6260"/>
    <w:rsid w:val="00F14603"/>
    <w:rsid w:val="00F20105"/>
    <w:rsid w:val="00F23EE1"/>
    <w:rsid w:val="00F72683"/>
    <w:rsid w:val="00F7433F"/>
    <w:rsid w:val="00F76057"/>
    <w:rsid w:val="00F829CD"/>
    <w:rsid w:val="00F9682E"/>
    <w:rsid w:val="00FA6472"/>
    <w:rsid w:val="00FA76B0"/>
    <w:rsid w:val="00FB5EE2"/>
    <w:rsid w:val="00FB6BD5"/>
    <w:rsid w:val="00FB7CBA"/>
    <w:rsid w:val="00FC2A13"/>
    <w:rsid w:val="00FF149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559296-E699-456F-B114-174EA89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56F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756F1"/>
    <w:rPr>
      <w:rFonts w:ascii="Garamond" w:eastAsia="Times New Roman" w:hAnsi="Garamond"/>
      <w:bCs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56F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756F1"/>
    <w:rPr>
      <w:rFonts w:ascii="Garamond" w:eastAsia="Times New Roman" w:hAnsi="Garamond"/>
      <w:bCs/>
      <w:sz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7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721"/>
    <w:rPr>
      <w:rFonts w:ascii="Garamond" w:eastAsia="Times New Roman" w:hAnsi="Garamond"/>
      <w:bCs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50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Microsoft account</cp:lastModifiedBy>
  <cp:revision>12</cp:revision>
  <cp:lastPrinted>2022-03-07T07:34:00Z</cp:lastPrinted>
  <dcterms:created xsi:type="dcterms:W3CDTF">2022-03-07T07:07:00Z</dcterms:created>
  <dcterms:modified xsi:type="dcterms:W3CDTF">2022-03-07T07:37:00Z</dcterms:modified>
</cp:coreProperties>
</file>