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127C" w14:textId="77777777" w:rsidR="0053466E" w:rsidRPr="00481CF4" w:rsidRDefault="0053466E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Cs w:val="24"/>
          <w:lang w:val="sr-Latn-CS"/>
        </w:rPr>
      </w:pPr>
    </w:p>
    <w:p w14:paraId="6B57F716" w14:textId="77777777" w:rsidR="005C0E68" w:rsidRPr="00C4694C" w:rsidRDefault="005C0E68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color w:val="17365D" w:themeColor="text2" w:themeShade="BF"/>
          <w:sz w:val="20"/>
          <w:szCs w:val="20"/>
          <w:lang w:val="sr-Latn-CS"/>
        </w:rPr>
      </w:pPr>
      <w:r w:rsidRPr="00C4694C">
        <w:rPr>
          <w:rFonts w:ascii="Arial" w:hAnsi="Arial" w:cs="Arial"/>
          <w:b/>
          <w:noProof/>
          <w:color w:val="17365D" w:themeColor="text2" w:themeShade="BF"/>
          <w:szCs w:val="24"/>
          <w:lang w:val="sr-Latn-CS"/>
        </w:rPr>
        <w:t>OBRAZAC</w:t>
      </w:r>
    </w:p>
    <w:p w14:paraId="28AEF13E" w14:textId="77777777" w:rsidR="005C0E68" w:rsidRPr="00481CF4" w:rsidRDefault="005C0E68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16"/>
          <w:szCs w:val="16"/>
          <w:lang w:val="sr-Latn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890"/>
        <w:gridCol w:w="5450"/>
      </w:tblGrid>
      <w:tr w:rsidR="005C0E68" w:rsidRPr="00481CF4" w14:paraId="214DAAE9" w14:textId="77777777" w:rsidTr="00667C66">
        <w:tc>
          <w:tcPr>
            <w:tcW w:w="9340" w:type="dxa"/>
            <w:gridSpan w:val="2"/>
            <w:tcBorders>
              <w:bottom w:val="single" w:sz="18" w:space="0" w:color="4BACC6"/>
            </w:tcBorders>
          </w:tcPr>
          <w:p w14:paraId="5A69A0E0" w14:textId="77777777" w:rsidR="005C0E68" w:rsidRPr="00481CF4" w:rsidRDefault="005C0E68" w:rsidP="00C241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 w:val="0"/>
                <w:noProof/>
                <w:color w:val="17365D"/>
                <w:sz w:val="28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IZVJEŠTAJ O ANALIZI UTICAJA PROPISA ZA LOKALNE SAMOUPRAVE</w:t>
            </w:r>
          </w:p>
        </w:tc>
      </w:tr>
      <w:tr w:rsidR="00667C66" w:rsidRPr="00481CF4" w14:paraId="56E17172" w14:textId="77777777" w:rsidTr="00667C66">
        <w:tc>
          <w:tcPr>
            <w:tcW w:w="3890" w:type="dxa"/>
            <w:shd w:val="clear" w:color="auto" w:fill="D2EAF1"/>
          </w:tcPr>
          <w:p w14:paraId="3BA277F3" w14:textId="77777777" w:rsidR="00667C66" w:rsidRPr="007D7D11" w:rsidRDefault="00667C66" w:rsidP="00667C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OBRAĐIVAČ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450" w:type="dxa"/>
            <w:shd w:val="clear" w:color="auto" w:fill="D2EAF1"/>
          </w:tcPr>
          <w:p w14:paraId="62E06DCE" w14:textId="77777777" w:rsidR="00667C66" w:rsidRPr="007D7D11" w:rsidRDefault="00667C66" w:rsidP="00667C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Sekretarijat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staranje</w:t>
            </w:r>
          </w:p>
        </w:tc>
      </w:tr>
      <w:tr w:rsidR="005C0E68" w:rsidRPr="00BE344E" w14:paraId="745ED1F3" w14:textId="77777777" w:rsidTr="00667C66">
        <w:tc>
          <w:tcPr>
            <w:tcW w:w="3890" w:type="dxa"/>
          </w:tcPr>
          <w:p w14:paraId="21C9F4B0" w14:textId="77777777" w:rsidR="005C0E68" w:rsidRPr="00481CF4" w:rsidRDefault="005C0E68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NAZIV PROPISA</w:t>
            </w:r>
          </w:p>
        </w:tc>
        <w:tc>
          <w:tcPr>
            <w:tcW w:w="5450" w:type="dxa"/>
          </w:tcPr>
          <w:p w14:paraId="5BBCC858" w14:textId="7DA725A2" w:rsidR="00AF6BDB" w:rsidRPr="00ED2785" w:rsidRDefault="005C0E68" w:rsidP="00DD37B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</w:pPr>
            <w:r w:rsidRPr="00ED2785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CS"/>
              </w:rPr>
              <w:t xml:space="preserve">Predlog </w:t>
            </w:r>
            <w:r w:rsidR="002D683B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ME"/>
              </w:rPr>
              <w:t>o</w:t>
            </w:r>
            <w:r w:rsidR="00ED2785" w:rsidRPr="00ED2785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ME"/>
              </w:rPr>
              <w:t>dluke o izmjenama Odluke o utvrđivanju novčane naknade za novorođeno dije</w:t>
            </w:r>
            <w:r w:rsidR="00DD37BE">
              <w:rPr>
                <w:rFonts w:ascii="Arial" w:hAnsi="Arial" w:cs="Arial"/>
                <w:b/>
                <w:noProof/>
                <w:color w:val="244061" w:themeColor="accent1" w:themeShade="80"/>
                <w:sz w:val="20"/>
                <w:szCs w:val="20"/>
                <w:lang w:val="sr-Latn-ME"/>
              </w:rPr>
              <w:t xml:space="preserve">te na području opštine Nikšić </w:t>
            </w:r>
          </w:p>
        </w:tc>
      </w:tr>
      <w:tr w:rsidR="005C0E68" w:rsidRPr="00481CF4" w14:paraId="36BE758C" w14:textId="77777777" w:rsidTr="00667C66">
        <w:tc>
          <w:tcPr>
            <w:tcW w:w="9340" w:type="dxa"/>
            <w:gridSpan w:val="2"/>
            <w:shd w:val="clear" w:color="auto" w:fill="D2EAF1"/>
          </w:tcPr>
          <w:p w14:paraId="74A94C63" w14:textId="77777777" w:rsidR="005C0E68" w:rsidRPr="00481CF4" w:rsidRDefault="005C0E68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1. Definisanje problema</w:t>
            </w:r>
          </w:p>
          <w:p w14:paraId="1DE46E93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je propis posljedica zahtjeva (propisa) na državnom nivou?</w:t>
            </w:r>
          </w:p>
          <w:p w14:paraId="5F72B393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Navesti zakonski osnov za donošenje propisa, kao i odnos sa strateškim dokumentima lokalne samouprave ako postoji?</w:t>
            </w:r>
          </w:p>
          <w:p w14:paraId="4E5FF4C1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lokalna samouprava može odstupati od odredbi propisa na državnom nivou i u kojoj mjeri?</w:t>
            </w:r>
          </w:p>
          <w:p w14:paraId="523D6E99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je riječ o sopstvenim nadležnostima ili prenesenom, odnosno povjerenom poslu lokalne samouprave?</w:t>
            </w:r>
          </w:p>
          <w:p w14:paraId="19C8BF4C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 probleme treba da riješi predloženi akt?</w:t>
            </w:r>
          </w:p>
          <w:p w14:paraId="455F86AC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problem ima rodnu dimenziju? (ima posebni uticaj na žene)</w:t>
            </w:r>
          </w:p>
          <w:p w14:paraId="7CBE59EF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su uzroci problema?</w:t>
            </w:r>
          </w:p>
          <w:p w14:paraId="2D8D23C8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 su posljedice problema?</w:t>
            </w:r>
          </w:p>
          <w:p w14:paraId="1AA2702C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su subjekti oštećeni, na koji način i u kojoj mjeri? (žene-muškarci)</w:t>
            </w:r>
          </w:p>
          <w:p w14:paraId="64B60A85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 bi problem evoluirao bez promjene propisa (“status quo” opcija)?</w:t>
            </w:r>
          </w:p>
        </w:tc>
      </w:tr>
      <w:tr w:rsidR="005C0E68" w:rsidRPr="00BE344E" w14:paraId="4B17EE6B" w14:textId="77777777" w:rsidTr="00667C66">
        <w:tc>
          <w:tcPr>
            <w:tcW w:w="9340" w:type="dxa"/>
            <w:gridSpan w:val="2"/>
          </w:tcPr>
          <w:p w14:paraId="43B03E8C" w14:textId="77777777" w:rsidR="005C0E68" w:rsidRPr="007713D9" w:rsidRDefault="005C0E68" w:rsidP="00E807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Ovaj propis je posledica zahtjeva (propisa) na državnom nivou.</w:t>
            </w:r>
          </w:p>
          <w:p w14:paraId="5B5C4DA9" w14:textId="77777777" w:rsidR="00481CF4" w:rsidRPr="007713D9" w:rsidRDefault="001D25DE" w:rsidP="00481CF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Pravni osnov za donošenje ove odluke</w:t>
            </w:r>
            <w:r w:rsidR="005C0E68"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sadržan je u članu </w:t>
            </w:r>
            <w:r w:rsidR="00481CF4"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59, a u vezi sa članom 154 stav 4 Zakona o socijalnoj i dječjoj zaštiti („Službeni list Crne Gore“, br. 27/13, 1/15, 42/15, 47/15, 56/16, 66/16, 1/17, 31/17, 42/17, 50/17, 59/21, 145/21, 3/23, 48/24 i 84/24), članu 27 stav 1 tačka 15 i članu 38 stav 1 tačka 2 Zakona o lokalnoj samoupravi („Službeni list Crne Gore“, br. 2/18, 34/19, 38/20, 50/22 i 84/22), članu 35 stav 1 tačka 2 i članu 38 stav 1 Statuta opštine Nikšić („Službeni list Crne Gore – Opštinski propisi“, br. 31/18 i 21/23).</w:t>
            </w:r>
          </w:p>
          <w:p w14:paraId="7F1C2D33" w14:textId="77777777" w:rsidR="005C0E68" w:rsidRPr="007713D9" w:rsidRDefault="005C0E68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 samouprava ne može odstupiti od odredbi propisa na državnom nivou, već samo može bliže odrediti iste.</w:t>
            </w:r>
          </w:p>
          <w:p w14:paraId="76FEF170" w14:textId="77777777" w:rsidR="005C0E68" w:rsidRPr="007713D9" w:rsidRDefault="005C0E68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Riječ je o sopstvenim nadležnostima lokalne samouprave.</w:t>
            </w:r>
          </w:p>
          <w:p w14:paraId="2D8155E4" w14:textId="10C96AA4" w:rsidR="005C0E68" w:rsidRPr="007713D9" w:rsidRDefault="005C0E68" w:rsidP="00E957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Predložena odluka treba da riješi jedan od najznačajnih društvenih problema od neposrednog interesa za lokalno stanovništvo</w:t>
            </w:r>
            <w:r w:rsidR="00FD433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a to je </w:t>
            </w:r>
            <w:r w:rsidR="00ED278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pad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broja </w:t>
            </w:r>
            <w:r w:rsidR="00ED278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novor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ođene djece.</w:t>
            </w:r>
          </w:p>
          <w:p w14:paraId="55C8DD93" w14:textId="1A0CE18F" w:rsidR="005C0E68" w:rsidRPr="007713D9" w:rsidRDefault="005C0E68" w:rsidP="00121D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Problem ima podjednaku rodnu dimenziju u smislu olakšavanja roditeljstva i odluke o rađanju djece, sa posebnim uticajem </w:t>
            </w:r>
            <w:r w:rsidR="00ED278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podsticanja bračnih partnera na planiranje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porodice i planiranje</w:t>
            </w:r>
            <w:r w:rsidR="00ED278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proširenja porodice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5E930C3" w14:textId="77777777" w:rsidR="005C0E68" w:rsidRPr="007713D9" w:rsidRDefault="005C0E68" w:rsidP="00C458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Glavni uzroci 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smanjenja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broja rođene djece su: 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loša 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ekonomska situacija, tj. socijalna nesigurnost, nezaposlenost, neriješeno stambeno pitanje, odlazak mladih u inostranstvo, izostanak državnih i društvenih m</w:t>
            </w:r>
            <w:r w:rsidR="007713D9"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era populacione podrške.</w:t>
            </w:r>
          </w:p>
          <w:p w14:paraId="2E0072F2" w14:textId="77777777" w:rsidR="005C0E68" w:rsidRPr="007713D9" w:rsidRDefault="005C0E68" w:rsidP="00C458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Posledice problema su konstantno opadanje nataliteta odnosno smanjivanje broja rođene djece.</w:t>
            </w:r>
          </w:p>
          <w:p w14:paraId="62467A0A" w14:textId="77777777" w:rsidR="005C0E68" w:rsidRPr="007713D9" w:rsidRDefault="005C0E68" w:rsidP="0080678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Zbog nastalog problema su oštećeni svi subjekti odnosno cijela društvena zajednica jer će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ako se ne preduzmu odgovarajuće mjere populacione politike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doći do biološke regresije društva.</w:t>
            </w:r>
          </w:p>
          <w:p w14:paraId="44C4C074" w14:textId="77777777" w:rsidR="0053466E" w:rsidRPr="00647533" w:rsidRDefault="005C0E68" w:rsidP="0064753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U slučaju “status quo” opcije problemi bi evaluirali u pogledu opadanja prirodnog pri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raštaja stanovništva i stvaranja</w:t>
            </w:r>
            <w:r w:rsidRPr="007713D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baze za staranje stanovništva.</w:t>
            </w:r>
          </w:p>
        </w:tc>
      </w:tr>
      <w:tr w:rsidR="005C0E68" w:rsidRPr="00481CF4" w14:paraId="6A72BDE6" w14:textId="77777777" w:rsidTr="00667C66">
        <w:tc>
          <w:tcPr>
            <w:tcW w:w="9340" w:type="dxa"/>
            <w:gridSpan w:val="2"/>
            <w:shd w:val="clear" w:color="auto" w:fill="D2EAF1"/>
          </w:tcPr>
          <w:p w14:paraId="70225543" w14:textId="77777777" w:rsidR="005C0E68" w:rsidRPr="00481CF4" w:rsidRDefault="005C0E68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2. Ciljevi</w:t>
            </w:r>
          </w:p>
          <w:p w14:paraId="702DD5BC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ciljevi se postižu predloženim propisom?</w:t>
            </w:r>
          </w:p>
          <w:p w14:paraId="296D8ACE" w14:textId="77777777" w:rsidR="005C0E68" w:rsidRPr="00481CF4" w:rsidRDefault="005C0E68" w:rsidP="00AE5F4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bilo koji od ciljeva unapređuje rodnu ravnopravnost? (ako je odgovor ne, da li se može definisati cilj koji unapređuje rodnu ravnopravnost?)</w:t>
            </w:r>
          </w:p>
        </w:tc>
      </w:tr>
      <w:tr w:rsidR="005C0E68" w:rsidRPr="00BE344E" w14:paraId="0B615B1F" w14:textId="77777777" w:rsidTr="00667C66">
        <w:tc>
          <w:tcPr>
            <w:tcW w:w="9340" w:type="dxa"/>
            <w:gridSpan w:val="2"/>
          </w:tcPr>
          <w:p w14:paraId="4EEC222E" w14:textId="7B35E577" w:rsidR="005C0E68" w:rsidRPr="00481CF4" w:rsidRDefault="00647533" w:rsidP="00E957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a odluka 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ima za cilj unapređenje opšteg kvaliteta života porodica kojima je neophodna dodatna podrška radi zadovoljenja osnovnih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potreba za novorođeno dijete, kao i podsticanje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rast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stope nataliteta i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stimulisanje mladih parova da stupe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u brak.</w:t>
            </w:r>
          </w:p>
          <w:p w14:paraId="53E821B1" w14:textId="77777777" w:rsidR="005C0E68" w:rsidRPr="00481CF4" w:rsidRDefault="005C0E68" w:rsidP="004D5D0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FF0000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 koji unapređuje rodnu ravnopravnost „leži“ u samoj motivaciji žena, odnosno majki na rađanje, ali i podjednakoj motivaciji supružnika u donošenju odluke ostvarivanja u ulozi roditelja.</w:t>
            </w:r>
            <w:r w:rsidRPr="00481CF4">
              <w:rPr>
                <w:noProof/>
                <w:color w:val="FF0000"/>
                <w:lang w:val="sr-Latn-CS"/>
              </w:rPr>
              <w:t xml:space="preserve"> </w:t>
            </w:r>
          </w:p>
        </w:tc>
      </w:tr>
      <w:tr w:rsidR="005C0E68" w:rsidRPr="00BE344E" w14:paraId="7AD41E1F" w14:textId="77777777" w:rsidTr="00667C66">
        <w:tc>
          <w:tcPr>
            <w:tcW w:w="9340" w:type="dxa"/>
            <w:gridSpan w:val="2"/>
            <w:shd w:val="clear" w:color="auto" w:fill="D2EAF1"/>
          </w:tcPr>
          <w:p w14:paraId="30F1633E" w14:textId="77777777" w:rsidR="005C0E68" w:rsidRPr="00481CF4" w:rsidRDefault="005C0E68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3. Opcije</w:t>
            </w:r>
          </w:p>
          <w:p w14:paraId="37791718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Zašto je propis neophodan? - 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0270EC92" w14:textId="77777777" w:rsidR="005C0E68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 preferiranu opciju? (koja je rodna dimenzija te opcije; kako preferirana opcija unapređuje rodnu ravnopravnost:  status žena i odnose među ženama i muškarcima?)</w:t>
            </w:r>
          </w:p>
          <w:p w14:paraId="3B77B7D4" w14:textId="1078B97F" w:rsidR="00A15C62" w:rsidRPr="00481CF4" w:rsidRDefault="00A15C62" w:rsidP="00A15C62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BE344E" w14:paraId="56DAE590" w14:textId="77777777" w:rsidTr="00667C66">
        <w:tc>
          <w:tcPr>
            <w:tcW w:w="9340" w:type="dxa"/>
            <w:gridSpan w:val="2"/>
          </w:tcPr>
          <w:p w14:paraId="369490DC" w14:textId="77777777" w:rsidR="005C0E68" w:rsidRPr="00481CF4" w:rsidRDefault="00647533" w:rsidP="00A84A4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Kao što je već navedeno, 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ovaj propis je neophodan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kako bi se mladi brač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 parovi stimulisali da stupe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u brak i kako bi se podstakao rast stope nataliteta.</w:t>
            </w:r>
          </w:p>
          <w:p w14:paraId="7C861CAA" w14:textId="77777777" w:rsidR="005C0E68" w:rsidRPr="00481CF4" w:rsidRDefault="005C0E68" w:rsidP="00A84A4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ispunjavanje postavljenih ciljeva nije moguća “status quo” opcija.</w:t>
            </w:r>
          </w:p>
          <w:p w14:paraId="4006904E" w14:textId="77777777" w:rsidR="005C0E68" w:rsidRPr="00481CF4" w:rsidRDefault="00DD37BE" w:rsidP="00DD37B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Ovom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se motivišu žene, odnosno majke na rađanje, ali i podjednako motivišu supružnici u donošenju odluke ostvarivanja u ulozi roditelja.</w:t>
            </w:r>
          </w:p>
        </w:tc>
      </w:tr>
      <w:tr w:rsidR="005C0E68" w:rsidRPr="00481CF4" w14:paraId="799163FE" w14:textId="77777777" w:rsidTr="00667C66">
        <w:tc>
          <w:tcPr>
            <w:tcW w:w="9340" w:type="dxa"/>
            <w:gridSpan w:val="2"/>
            <w:shd w:val="clear" w:color="auto" w:fill="D2EAF1"/>
          </w:tcPr>
          <w:p w14:paraId="26A5AE5D" w14:textId="77777777" w:rsidR="005C0E68" w:rsidRPr="00481CF4" w:rsidRDefault="005C0E68" w:rsidP="009A16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4. Analiza uticaja</w:t>
            </w:r>
          </w:p>
          <w:p w14:paraId="3D1EF296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 koga će i kako će najvjerovatnije uticati rješenja u propisu - nabrojati pozitivne i negativne uticaje, direktne i indirektne? Da li rješenja u propisu imaju uticaj na žene (pozitivne i negativne, direktne i indirektne?)</w:t>
            </w:r>
          </w:p>
          <w:p w14:paraId="674D454C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 troškove ili uštede će primjena propisa izazvati građanima i privredi (naročito malim i srednjim preduzećima)?</w:t>
            </w:r>
          </w:p>
          <w:p w14:paraId="1A686887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pozitivne posljedice donošenja propisa opravdavaju troškove koje će on stvoriti?</w:t>
            </w:r>
          </w:p>
          <w:p w14:paraId="327EB672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se propisom podržava stvaranje novih privrednih subjekata na tržištu i tržišna konkurencija?</w:t>
            </w:r>
          </w:p>
          <w:p w14:paraId="4229FE1E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Uključiti procjenu administrativnih opterećenja i biznis barijera.</w:t>
            </w:r>
          </w:p>
          <w:p w14:paraId="6006A268" w14:textId="77777777" w:rsidR="005C0E68" w:rsidRPr="00481CF4" w:rsidRDefault="005C0E68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356D9332" w14:textId="77777777" w:rsidTr="00667C66">
        <w:tc>
          <w:tcPr>
            <w:tcW w:w="9340" w:type="dxa"/>
            <w:gridSpan w:val="2"/>
          </w:tcPr>
          <w:p w14:paraId="59B5FCE9" w14:textId="77777777" w:rsidR="005C0E68" w:rsidRPr="00481CF4" w:rsidRDefault="005C0E68" w:rsidP="000A49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 odluka treba da riješi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jedan od najznačajnih društvenih problema od neposrednog interesa za lokalno stanovništvo a to je 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evidentan 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pad broja novorođene djece. Ovom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unapređuje se kvalitet života porodica kojima je neophodna dodatna podrška radi zadovoljenja osnovnih potreba za novorođeno dijete. </w:t>
            </w:r>
          </w:p>
          <w:p w14:paraId="35B45761" w14:textId="77777777" w:rsidR="005C0E68" w:rsidRPr="00481CF4" w:rsidRDefault="00647533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 u propis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imaju podjednaku rodnu dimenziju u smislu olakšavanja roditeljstva i odluke o rađanju djece, sa posebnim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osvrtom na </w:t>
            </w:r>
            <w:r w:rsidRP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podsticanj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bračnih partnera na planiranje</w:t>
            </w:r>
            <w:r w:rsidRP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proširenja porodice</w:t>
            </w:r>
            <w:r w:rsidR="005C0E68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288EAD2" w14:textId="5C064E0E" w:rsidR="005C0E68" w:rsidRPr="00657237" w:rsidRDefault="00DD37BE" w:rsidP="005604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Primjena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ov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će uzrokovati izdatke za realizaciju 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su planirani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udžet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11410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pštine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za 2025. godinu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14:paraId="39A5582D" w14:textId="0AD33B54" w:rsidR="005C0E68" w:rsidRPr="00657237" w:rsidRDefault="00657237" w:rsidP="006572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ovčan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naknad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 za novorođeno dijete,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koju može ostvariti jedan od roditelja, usvojioca, staratelja ili hranitelja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djeteta,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iznosi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za prvorođeno dijete 300,00 eura, za drugorođeno </w:t>
            </w:r>
            <w:r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dijete 500,00 eura, za trećerođeno dijete 1000,00 eura, </w:t>
            </w:r>
            <w:r w:rsidR="006C75EF" w:rsidRPr="006C75E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blizance, četvrtorođeno i svako sledeće dijete 2000,00 eura</w:t>
            </w:r>
            <w:r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za trojke 3000,00 eura i </w:t>
            </w:r>
            <w:r w:rsidR="006C75EF" w:rsidRPr="006C75E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četvorke, petorke, itd. 4000,00 eura</w:t>
            </w:r>
            <w:r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5C0E68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</w:p>
          <w:p w14:paraId="173480AE" w14:textId="77777777" w:rsidR="005C0E68" w:rsidRPr="00481CF4" w:rsidRDefault="005C0E68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Pozitivne posledice donošenja propisa opravdavaju troškove koje će stvoriti isti. </w:t>
            </w:r>
          </w:p>
          <w:p w14:paraId="79BA7C19" w14:textId="77777777" w:rsidR="005C0E68" w:rsidRDefault="005C0E68" w:rsidP="004623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 se ne podržava stvaranje novih privrednih subjekata na tržištu i tržišna konkurencija.</w:t>
            </w:r>
          </w:p>
          <w:p w14:paraId="54394DE1" w14:textId="5B341FF2" w:rsidR="00AA46FC" w:rsidRPr="0046239E" w:rsidRDefault="00AA46FC" w:rsidP="00AA46FC">
            <w:pPr>
              <w:pStyle w:val="ListParagraph"/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6C215966" w14:textId="77777777" w:rsidTr="00667C66">
        <w:tc>
          <w:tcPr>
            <w:tcW w:w="9340" w:type="dxa"/>
            <w:gridSpan w:val="2"/>
            <w:shd w:val="clear" w:color="auto" w:fill="D2EAF1"/>
          </w:tcPr>
          <w:p w14:paraId="47B4B291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7A333080" w14:textId="77777777" w:rsidR="005C0E68" w:rsidRPr="00481CF4" w:rsidRDefault="005C0E68" w:rsidP="00DB7D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5. Procjena fiskalnog uticaja</w:t>
            </w:r>
          </w:p>
          <w:p w14:paraId="18D897D0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propis utiče na visinu prihoda ili troškova lokalne samouprave?</w:t>
            </w:r>
          </w:p>
          <w:p w14:paraId="4844BD09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je potrebno obezbjeđenje finansijskih sredstava iz budžeta lokalnih samouprava odnosno budžeta Crne Gore za implementaciju propisa i u kom iznosu?</w:t>
            </w:r>
          </w:p>
          <w:p w14:paraId="1014DE23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je obezbjeđenje finansijskih sredstava jednokratno, ili tokom određenog vremenskog perioda?  Obrazložiti.</w:t>
            </w:r>
          </w:p>
          <w:p w14:paraId="0B9A8C5B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su neophodna finansijska sredstva obezbijeđena u budžetu lokalnih samouprava odnosno budžetu Crne Gore za tekuću fiskalnu godinu, odnosno da li su planirana u budžetu za narednu fiskalnu godinu?</w:t>
            </w:r>
          </w:p>
          <w:p w14:paraId="430735E8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će se implementacijom propisa ostvariti prihod za lokalne samouprave odnosno za budžet Crne Gore?</w:t>
            </w:r>
          </w:p>
          <w:p w14:paraId="06ABDDA0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 je potencijalni korisnik budžeta za implementaciju propisa (u kojem procentu bi korisnici mogli biti muškarci, a u kojem žene? Da li implementacija budžeta može biti uzrok neravnopravnosti između muškaraca i žena?)</w:t>
            </w:r>
          </w:p>
          <w:p w14:paraId="0A61FC86" w14:textId="77777777" w:rsidR="005C0E68" w:rsidRPr="00481CF4" w:rsidRDefault="005C0E68" w:rsidP="00DB7DAA">
            <w:pPr>
              <w:pStyle w:val="ListParagraph"/>
              <w:ind w:left="63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362E157D" w14:textId="77777777" w:rsidTr="00667C66">
        <w:tc>
          <w:tcPr>
            <w:tcW w:w="9340" w:type="dxa"/>
            <w:gridSpan w:val="2"/>
          </w:tcPr>
          <w:p w14:paraId="566F8B26" w14:textId="77777777" w:rsidR="005C0E68" w:rsidRPr="00657237" w:rsidRDefault="005C0E68" w:rsidP="00DB7D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Propis utiče na troškove lokalne samouprave </w:t>
            </w:r>
            <w:r w:rsidR="00657237" w:rsidRPr="006572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 oni su planirani budžetom Opštine za 2025. godinu.</w:t>
            </w:r>
          </w:p>
          <w:p w14:paraId="103A1CA1" w14:textId="77777777" w:rsidR="005C0E68" w:rsidRPr="00481CF4" w:rsidRDefault="005C0E68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Nije potrebno obezbjeđivanje finansijskih sredstava iz budžeta 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 Gore za implementaciju ovog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propisa.</w:t>
            </w:r>
          </w:p>
          <w:p w14:paraId="20690E94" w14:textId="2D14F45B" w:rsidR="005C0E68" w:rsidRPr="00481CF4" w:rsidRDefault="005C0E68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Obezbjeđenje finansijskih sredstava je kontinuirano i odnosi se na </w:t>
            </w:r>
            <w:r w:rsidR="006C75E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2025.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i naredne godine. </w:t>
            </w:r>
          </w:p>
          <w:p w14:paraId="7960FF2E" w14:textId="053723E4" w:rsidR="005C0E68" w:rsidRPr="00481CF4" w:rsidRDefault="005C0E68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Neophodna finansijska sredstva za </w:t>
            </w:r>
            <w:r w:rsidR="006C75E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2025.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godinu su obezbijeđena u </w:t>
            </w:r>
            <w:r w:rsidR="0011410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udžetu </w:t>
            </w:r>
            <w:r w:rsidR="00114106"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pštine Nikšić i biće planirana i za naredn</w:t>
            </w:r>
            <w:r w:rsidR="006C75E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fiskaln</w:t>
            </w:r>
            <w:r w:rsidR="006C75E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godin</w:t>
            </w:r>
            <w:r w:rsidR="006C75E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92A897D" w14:textId="77777777" w:rsidR="005C0E68" w:rsidRPr="00481CF4" w:rsidRDefault="005C0E68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Implementacijom propisa neće se ostvariti prihod za lokalnu samoupravu odnosno za budžet Crne Gore.</w:t>
            </w:r>
          </w:p>
          <w:p w14:paraId="0FE94AF8" w14:textId="77777777" w:rsidR="005C0E68" w:rsidRPr="00481CF4" w:rsidRDefault="005C0E68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Potencijalni korisnici budžeta za implementaciju propisa su roditelji, usvojioci, staratelji ili hranitelji novorođenog djeteta.</w:t>
            </w:r>
          </w:p>
          <w:p w14:paraId="03EDB54F" w14:textId="77777777" w:rsidR="005C0E68" w:rsidRPr="00481CF4" w:rsidRDefault="005C0E68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Implementacija budžeta ne može biti uzrok neravnopravnosti između muškaraca i žena.</w:t>
            </w:r>
          </w:p>
          <w:p w14:paraId="5151476E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noProof/>
                <w:sz w:val="20"/>
                <w:szCs w:val="20"/>
                <w:lang w:val="sr-Latn-CS"/>
              </w:rPr>
            </w:pPr>
          </w:p>
        </w:tc>
      </w:tr>
      <w:tr w:rsidR="005C0E68" w:rsidRPr="00481CF4" w14:paraId="4833D1E1" w14:textId="77777777" w:rsidTr="00667C66">
        <w:tc>
          <w:tcPr>
            <w:tcW w:w="9340" w:type="dxa"/>
            <w:gridSpan w:val="2"/>
            <w:shd w:val="clear" w:color="auto" w:fill="D2EAF1"/>
          </w:tcPr>
          <w:p w14:paraId="20FB1DAD" w14:textId="77777777" w:rsidR="005C0E68" w:rsidRPr="00481CF4" w:rsidRDefault="005C0E68" w:rsidP="00C06E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6. Konsultacije zainteresovanih strana</w:t>
            </w:r>
          </w:p>
          <w:p w14:paraId="5CAE3157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 da li je korišćena eksterna ekspertska podrška i ako da, kako.</w:t>
            </w:r>
          </w:p>
          <w:p w14:paraId="21A7B8FD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 koje su grupe zainteresovanih strana konsultovane, u kojoj fazi RIA procesa i kako (javne ili ciljane konsultacije).</w:t>
            </w:r>
          </w:p>
          <w:p w14:paraId="3A708858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 li su predstavnice ženskih udruženja i ranjivih grupa bile uključene u konsultacije?</w:t>
            </w:r>
          </w:p>
          <w:p w14:paraId="0A2B67EC" w14:textId="77777777" w:rsidR="005C0E68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 glavne rezultate konsultacija, i koji su predlozi i sugestije zainteresovanih strana prihvaćeni odnosno nijesu prihvaćeni. Obrazložiti.</w:t>
            </w:r>
          </w:p>
          <w:p w14:paraId="7D1921D5" w14:textId="77777777" w:rsidR="00647533" w:rsidRPr="006C75EF" w:rsidRDefault="00647533" w:rsidP="006C75E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1AED70CD" w14:textId="77777777" w:rsidTr="00667C66">
        <w:tc>
          <w:tcPr>
            <w:tcW w:w="9340" w:type="dxa"/>
            <w:gridSpan w:val="2"/>
          </w:tcPr>
          <w:p w14:paraId="070774FE" w14:textId="77777777" w:rsidR="005C0E68" w:rsidRPr="00481CF4" w:rsidRDefault="005C0E68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441FD5FE" w14:textId="77777777" w:rsidR="005C0E68" w:rsidRPr="00481CF4" w:rsidRDefault="005C0E68" w:rsidP="006157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pripremu ov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e 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nije korišćena eksterna ekspertska podrška.</w:t>
            </w:r>
          </w:p>
          <w:p w14:paraId="14614113" w14:textId="77777777" w:rsidR="005C0E68" w:rsidRPr="00481CF4" w:rsidRDefault="005C0E68" w:rsidP="00854AF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 su izvršene sa svim organima lokalne uprave Opštine Nikšić koji imaju dodirnih tačaka sa politikom socijalne i dječje zaštite.</w:t>
            </w:r>
          </w:p>
          <w:p w14:paraId="720A3A89" w14:textId="77777777" w:rsidR="005C0E68" w:rsidRPr="00481CF4" w:rsidRDefault="005C0E68" w:rsidP="008B0F2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Predstavnici ženskih udruženja i ranjivih grupa su kroz javnu raspravu mogli biti uključeni u konsultacije u vezi sa donošenjem ovog propisa.</w:t>
            </w:r>
          </w:p>
          <w:p w14:paraId="0D74824C" w14:textId="612873B0" w:rsidR="005C0E68" w:rsidRPr="0046239E" w:rsidRDefault="005C0E68" w:rsidP="0046239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Predloga i sugestija za izradu predl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ožene odluke</w:t>
            </w:r>
            <w:r w:rsidR="0064753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 strane građana nij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 bilo u toku javne rasprave.</w:t>
            </w:r>
          </w:p>
          <w:p w14:paraId="49B76012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481CF4" w14:paraId="2142D23C" w14:textId="77777777" w:rsidTr="00667C66">
        <w:tc>
          <w:tcPr>
            <w:tcW w:w="9340" w:type="dxa"/>
            <w:gridSpan w:val="2"/>
            <w:shd w:val="clear" w:color="auto" w:fill="D2EAF1"/>
          </w:tcPr>
          <w:p w14:paraId="220D2F48" w14:textId="77777777" w:rsidR="005C0E68" w:rsidRPr="00481CF4" w:rsidRDefault="005C0E68" w:rsidP="00304A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7. Monitoring i evaluacija</w:t>
            </w:r>
          </w:p>
          <w:p w14:paraId="6EDBA995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Koje su potencijalne prepreke za implementaciju propisa? </w:t>
            </w:r>
          </w:p>
          <w:p w14:paraId="7C059D74" w14:textId="77777777" w:rsidR="005C0E68" w:rsidRPr="00481CF4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 su glavni indikatori prema kojima će se mjeriti ispunjenje ciljeva?</w:t>
            </w:r>
          </w:p>
          <w:p w14:paraId="26363B98" w14:textId="77777777" w:rsidR="005C0E68" w:rsidRDefault="005C0E68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 će biti zadužen za sprovođenje monitoringa i evaluacije primjene propisa?</w:t>
            </w:r>
          </w:p>
          <w:p w14:paraId="7E7673BB" w14:textId="15B6F088" w:rsidR="006C75EF" w:rsidRPr="00481CF4" w:rsidRDefault="006C75EF" w:rsidP="006C75EF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5C0E68" w:rsidRPr="00BE344E" w14:paraId="231DCE26" w14:textId="77777777" w:rsidTr="00667C66">
        <w:tc>
          <w:tcPr>
            <w:tcW w:w="9340" w:type="dxa"/>
            <w:gridSpan w:val="2"/>
          </w:tcPr>
          <w:p w14:paraId="1B8800AC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4B8E74CA" w14:textId="54400DED" w:rsidR="005C0E68" w:rsidRPr="00481CF4" w:rsidRDefault="005C0E68" w:rsidP="00D775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implementaciju ov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ne postoje prepreke.</w:t>
            </w:r>
          </w:p>
          <w:p w14:paraId="33234CF7" w14:textId="77777777" w:rsidR="005C0E68" w:rsidRPr="00481CF4" w:rsidRDefault="005C0E68" w:rsidP="00D775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Glavni indikator za </w:t>
            </w:r>
            <w:r w:rsidR="00CC0D5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mjerenje ispunjenosti cilja je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broj rođene djece na području opštine Nikšić</w:t>
            </w:r>
            <w:r w:rsidR="00CC0D5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u budućem periodu.</w:t>
            </w:r>
          </w:p>
          <w:p w14:paraId="6C4C6290" w14:textId="2B988870" w:rsidR="005C0E68" w:rsidRPr="00481CF4" w:rsidRDefault="005C0E68" w:rsidP="00D775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 sprovođenje monit</w:t>
            </w:r>
            <w:r w:rsidR="00CC0D5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ringa i evaluacije primjene ove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odluk</w:t>
            </w:r>
            <w:r w:rsidR="00DD37B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</w:t>
            </w:r>
            <w:r w:rsidRPr="00481CF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biće zadužen Sekretarijat za kulturu, sport, mlade i socijalno staranje</w:t>
            </w:r>
            <w:r w:rsidR="006C75E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 kao organ lokalne uprave nadležan za poslove socijalne i dječje zaštite.</w:t>
            </w:r>
          </w:p>
          <w:p w14:paraId="496E2F6A" w14:textId="77777777" w:rsidR="005C0E68" w:rsidRPr="00481CF4" w:rsidRDefault="005C0E6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</w:tbl>
    <w:p w14:paraId="497A5D13" w14:textId="77777777" w:rsidR="005C0E68" w:rsidRPr="00481CF4" w:rsidRDefault="005C0E68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Latn-CS"/>
        </w:rPr>
      </w:pPr>
    </w:p>
    <w:p w14:paraId="76517080" w14:textId="77777777" w:rsidR="005C0E68" w:rsidRDefault="005C0E68">
      <w:pPr>
        <w:rPr>
          <w:rFonts w:ascii="Arial" w:hAnsi="Arial" w:cs="Arial"/>
          <w:b/>
          <w:noProof/>
          <w:lang w:val="sr-Latn-CS"/>
        </w:rPr>
      </w:pPr>
    </w:p>
    <w:p w14:paraId="2D55CD18" w14:textId="77777777" w:rsidR="00CC0D55" w:rsidRPr="00481CF4" w:rsidRDefault="00CC0D55">
      <w:pPr>
        <w:rPr>
          <w:rFonts w:ascii="Arial" w:hAnsi="Arial" w:cs="Arial"/>
          <w:b/>
          <w:noProof/>
          <w:lang w:val="sr-Latn-CS"/>
        </w:rPr>
      </w:pPr>
    </w:p>
    <w:p w14:paraId="4FA9EF74" w14:textId="5A39D39E" w:rsidR="00657237" w:rsidRPr="00657237" w:rsidRDefault="00657237" w:rsidP="00657237">
      <w:pPr>
        <w:rPr>
          <w:rFonts w:ascii="Arial" w:hAnsi="Arial" w:cs="Arial"/>
          <w:b/>
          <w:noProof/>
          <w:color w:val="17365D"/>
          <w:lang w:val="sr-Latn-CS"/>
        </w:rPr>
      </w:pPr>
      <w:r w:rsidRPr="00657237">
        <w:rPr>
          <w:rFonts w:ascii="Arial" w:hAnsi="Arial" w:cs="Arial"/>
          <w:b/>
          <w:noProof/>
          <w:color w:val="17365D"/>
          <w:lang w:val="sr-Latn-CS"/>
        </w:rPr>
        <w:t>Datum i mjesto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="00CC0D55">
        <w:rPr>
          <w:rFonts w:ascii="Arial" w:hAnsi="Arial" w:cs="Arial"/>
          <w:b/>
          <w:noProof/>
          <w:color w:val="17365D"/>
          <w:lang w:val="sr-Latn-CS"/>
        </w:rPr>
        <w:t xml:space="preserve">            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  <w:t xml:space="preserve">       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ab/>
      </w:r>
      <w:r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 w:rsidR="00C241C7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 w:rsidRPr="00657237">
        <w:rPr>
          <w:rFonts w:ascii="Arial" w:hAnsi="Arial" w:cs="Arial"/>
          <w:b/>
          <w:noProof/>
          <w:color w:val="17365D"/>
          <w:lang w:val="sr-Latn-CS"/>
        </w:rPr>
        <w:t>S</w:t>
      </w:r>
      <w:r w:rsidR="00C241C7">
        <w:rPr>
          <w:rFonts w:ascii="Arial" w:hAnsi="Arial" w:cs="Arial"/>
          <w:b/>
          <w:noProof/>
          <w:color w:val="17365D"/>
          <w:lang w:val="sr-Latn-CS"/>
        </w:rPr>
        <w:t>EKRETAR</w:t>
      </w:r>
    </w:p>
    <w:p w14:paraId="455417E5" w14:textId="77777777" w:rsidR="00657237" w:rsidRPr="00657237" w:rsidRDefault="00657237" w:rsidP="00657237">
      <w:pPr>
        <w:rPr>
          <w:rFonts w:ascii="Arial" w:hAnsi="Arial" w:cs="Arial"/>
          <w:b/>
          <w:noProof/>
          <w:color w:val="17365D"/>
          <w:sz w:val="16"/>
          <w:szCs w:val="16"/>
          <w:lang w:val="sr-Latn-CS"/>
        </w:rPr>
      </w:pPr>
      <w:r w:rsidRPr="00657237">
        <w:rPr>
          <w:rFonts w:ascii="Arial" w:hAnsi="Arial" w:cs="Arial"/>
          <w:b/>
          <w:noProof/>
          <w:color w:val="17365D"/>
          <w:sz w:val="16"/>
          <w:szCs w:val="16"/>
          <w:lang w:val="sr-Latn-CS"/>
        </w:rPr>
        <w:t xml:space="preserve">     </w:t>
      </w:r>
    </w:p>
    <w:p w14:paraId="46259577" w14:textId="6B680BAC" w:rsidR="005C0E68" w:rsidRPr="00657237" w:rsidRDefault="00657237" w:rsidP="00657237">
      <w:pPr>
        <w:rPr>
          <w:rFonts w:ascii="Arial" w:hAnsi="Arial" w:cs="Arial"/>
          <w:noProof/>
          <w:lang w:val="sr-Latn-CS"/>
        </w:rPr>
      </w:pPr>
      <w:r w:rsidRPr="00657237">
        <w:rPr>
          <w:rFonts w:ascii="Arial" w:hAnsi="Arial" w:cs="Arial"/>
          <w:noProof/>
          <w:color w:val="17365D"/>
          <w:lang w:val="sr-Latn-CS"/>
        </w:rPr>
        <w:t xml:space="preserve">Nikšić, </w:t>
      </w:r>
      <w:r w:rsidR="00B53E52">
        <w:rPr>
          <w:rFonts w:ascii="Arial" w:hAnsi="Arial" w:cs="Arial"/>
          <w:noProof/>
          <w:color w:val="17365D"/>
          <w:lang w:val="sr-Latn-CS"/>
        </w:rPr>
        <w:t>1</w:t>
      </w:r>
      <w:r w:rsidR="00CC0D55">
        <w:rPr>
          <w:rFonts w:ascii="Arial" w:hAnsi="Arial" w:cs="Arial"/>
          <w:noProof/>
          <w:color w:val="17365D"/>
          <w:lang w:val="sr-Latn-CS"/>
        </w:rPr>
        <w:t>8</w:t>
      </w:r>
      <w:r w:rsidRPr="00657237">
        <w:rPr>
          <w:rFonts w:ascii="Arial" w:hAnsi="Arial" w:cs="Arial"/>
          <w:noProof/>
          <w:color w:val="17365D"/>
          <w:lang w:val="sr-Latn-CS"/>
        </w:rPr>
        <w:t>.</w:t>
      </w:r>
      <w:r>
        <w:rPr>
          <w:rFonts w:ascii="Arial" w:hAnsi="Arial" w:cs="Arial"/>
          <w:noProof/>
          <w:color w:val="17365D"/>
          <w:lang w:val="sr-Latn-CS"/>
        </w:rPr>
        <w:t>12.</w:t>
      </w:r>
      <w:r w:rsidRPr="00657237">
        <w:rPr>
          <w:rFonts w:ascii="Arial" w:hAnsi="Arial" w:cs="Arial"/>
          <w:noProof/>
          <w:color w:val="17365D"/>
          <w:lang w:val="sr-Latn-CS"/>
        </w:rPr>
        <w:t xml:space="preserve">2024. godine        </w:t>
      </w:r>
      <w:r>
        <w:rPr>
          <w:rFonts w:ascii="Arial" w:hAnsi="Arial" w:cs="Arial"/>
          <w:noProof/>
          <w:color w:val="17365D"/>
          <w:lang w:val="sr-Latn-CS"/>
        </w:rPr>
        <w:tab/>
      </w:r>
      <w:r>
        <w:rPr>
          <w:rFonts w:ascii="Arial" w:hAnsi="Arial" w:cs="Arial"/>
          <w:noProof/>
          <w:color w:val="17365D"/>
          <w:lang w:val="sr-Latn-CS"/>
        </w:rPr>
        <w:tab/>
      </w:r>
      <w:r w:rsidRPr="00657237">
        <w:rPr>
          <w:rFonts w:ascii="Arial" w:hAnsi="Arial" w:cs="Arial"/>
          <w:noProof/>
          <w:color w:val="17365D"/>
          <w:lang w:val="sr-Latn-CS"/>
        </w:rPr>
        <w:t xml:space="preserve">                       </w:t>
      </w:r>
      <w:r w:rsidR="00CC0D55">
        <w:rPr>
          <w:rFonts w:ascii="Arial" w:hAnsi="Arial" w:cs="Arial"/>
          <w:noProof/>
          <w:color w:val="17365D"/>
          <w:lang w:val="sr-Latn-CS"/>
        </w:rPr>
        <w:t xml:space="preserve">          </w:t>
      </w:r>
      <w:r w:rsidRPr="00657237">
        <w:rPr>
          <w:rFonts w:ascii="Arial" w:hAnsi="Arial" w:cs="Arial"/>
          <w:noProof/>
          <w:color w:val="17365D"/>
          <w:lang w:val="sr-Latn-CS"/>
        </w:rPr>
        <w:t xml:space="preserve">            Dejan Ivanović</w:t>
      </w:r>
      <w:r w:rsidR="00BE344E">
        <w:rPr>
          <w:rFonts w:ascii="Arial" w:hAnsi="Arial" w:cs="Arial"/>
          <w:noProof/>
          <w:color w:val="17365D"/>
          <w:lang w:val="sr-Latn-CS"/>
        </w:rPr>
        <w:t>, s.r.</w:t>
      </w:r>
      <w:bookmarkStart w:id="0" w:name="_GoBack"/>
      <w:bookmarkEnd w:id="0"/>
      <w:r w:rsidRPr="00657237">
        <w:rPr>
          <w:rFonts w:ascii="Arial" w:hAnsi="Arial" w:cs="Arial"/>
          <w:noProof/>
          <w:color w:val="17365D"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  <w:r w:rsidR="005C0E68" w:rsidRPr="00657237">
        <w:rPr>
          <w:rFonts w:ascii="Arial" w:hAnsi="Arial" w:cs="Arial"/>
          <w:noProof/>
          <w:lang w:val="sr-Latn-CS"/>
        </w:rPr>
        <w:tab/>
      </w:r>
    </w:p>
    <w:p w14:paraId="2AE3D7F0" w14:textId="77777777" w:rsidR="005C0E68" w:rsidRPr="00481CF4" w:rsidRDefault="005C0E68">
      <w:pPr>
        <w:rPr>
          <w:rFonts w:ascii="Arial" w:hAnsi="Arial" w:cs="Arial"/>
          <w:noProof/>
          <w:lang w:val="sr-Latn-CS"/>
        </w:rPr>
      </w:pPr>
    </w:p>
    <w:sectPr w:rsidR="005C0E68" w:rsidRPr="00481CF4" w:rsidSect="00534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54DD1" w14:textId="77777777" w:rsidR="007914AE" w:rsidRDefault="007914AE" w:rsidP="00BA7396">
      <w:r>
        <w:separator/>
      </w:r>
    </w:p>
  </w:endnote>
  <w:endnote w:type="continuationSeparator" w:id="0">
    <w:p w14:paraId="6495840A" w14:textId="77777777" w:rsidR="007914AE" w:rsidRDefault="007914AE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4E578" w14:textId="77777777" w:rsidR="00481CF4" w:rsidRDefault="00481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D9DCD" w14:textId="77777777" w:rsidR="00481CF4" w:rsidRDefault="00481C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3CE1" w14:textId="77777777" w:rsidR="00481CF4" w:rsidRDefault="00481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6F5DD" w14:textId="77777777" w:rsidR="007914AE" w:rsidRDefault="007914AE" w:rsidP="00BA7396">
      <w:r>
        <w:separator/>
      </w:r>
    </w:p>
  </w:footnote>
  <w:footnote w:type="continuationSeparator" w:id="0">
    <w:p w14:paraId="5FA1D830" w14:textId="77777777" w:rsidR="007914AE" w:rsidRDefault="007914AE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FA388" w14:textId="77777777" w:rsidR="00481CF4" w:rsidRDefault="00481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0D822" w14:textId="77777777" w:rsidR="00481CF4" w:rsidRDefault="00481C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DB82B" w14:textId="77777777" w:rsidR="00481CF4" w:rsidRDefault="00481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4CEB"/>
    <w:rsid w:val="000114B5"/>
    <w:rsid w:val="00012321"/>
    <w:rsid w:val="00032902"/>
    <w:rsid w:val="00033473"/>
    <w:rsid w:val="00043CCD"/>
    <w:rsid w:val="000511F0"/>
    <w:rsid w:val="000562D6"/>
    <w:rsid w:val="000629D8"/>
    <w:rsid w:val="00067FCF"/>
    <w:rsid w:val="000716AC"/>
    <w:rsid w:val="00075306"/>
    <w:rsid w:val="000A496F"/>
    <w:rsid w:val="000C2206"/>
    <w:rsid w:val="000D7E32"/>
    <w:rsid w:val="000E1084"/>
    <w:rsid w:val="000E5392"/>
    <w:rsid w:val="000E7E95"/>
    <w:rsid w:val="000E7FBD"/>
    <w:rsid w:val="000F05ED"/>
    <w:rsid w:val="000F273A"/>
    <w:rsid w:val="00110589"/>
    <w:rsid w:val="00114106"/>
    <w:rsid w:val="0012033E"/>
    <w:rsid w:val="00121DC3"/>
    <w:rsid w:val="00136E1D"/>
    <w:rsid w:val="00154647"/>
    <w:rsid w:val="00162BB1"/>
    <w:rsid w:val="001A5B9E"/>
    <w:rsid w:val="001B0BC8"/>
    <w:rsid w:val="001C3158"/>
    <w:rsid w:val="001C7348"/>
    <w:rsid w:val="001D0BF0"/>
    <w:rsid w:val="001D25DE"/>
    <w:rsid w:val="001E1794"/>
    <w:rsid w:val="001E3E69"/>
    <w:rsid w:val="001F4328"/>
    <w:rsid w:val="002072BA"/>
    <w:rsid w:val="002251D6"/>
    <w:rsid w:val="00235BF5"/>
    <w:rsid w:val="00244B91"/>
    <w:rsid w:val="00267C7D"/>
    <w:rsid w:val="002703B6"/>
    <w:rsid w:val="002711EF"/>
    <w:rsid w:val="00271A2C"/>
    <w:rsid w:val="00282840"/>
    <w:rsid w:val="00284A91"/>
    <w:rsid w:val="00294662"/>
    <w:rsid w:val="00295023"/>
    <w:rsid w:val="002A0331"/>
    <w:rsid w:val="002A2751"/>
    <w:rsid w:val="002A6869"/>
    <w:rsid w:val="002C4593"/>
    <w:rsid w:val="002C4DE0"/>
    <w:rsid w:val="002D683B"/>
    <w:rsid w:val="002D7074"/>
    <w:rsid w:val="002E7569"/>
    <w:rsid w:val="002F4B3D"/>
    <w:rsid w:val="00304A2A"/>
    <w:rsid w:val="00310915"/>
    <w:rsid w:val="00322389"/>
    <w:rsid w:val="00357476"/>
    <w:rsid w:val="00363AD0"/>
    <w:rsid w:val="003855E9"/>
    <w:rsid w:val="00386D1D"/>
    <w:rsid w:val="00392F99"/>
    <w:rsid w:val="00395587"/>
    <w:rsid w:val="00397C9D"/>
    <w:rsid w:val="003E2C66"/>
    <w:rsid w:val="003F334E"/>
    <w:rsid w:val="0046239E"/>
    <w:rsid w:val="004722C5"/>
    <w:rsid w:val="0047459A"/>
    <w:rsid w:val="00481CF4"/>
    <w:rsid w:val="00494A64"/>
    <w:rsid w:val="00494BEF"/>
    <w:rsid w:val="004A4396"/>
    <w:rsid w:val="004B370C"/>
    <w:rsid w:val="004B549B"/>
    <w:rsid w:val="004B6374"/>
    <w:rsid w:val="004D3BA5"/>
    <w:rsid w:val="004D5D02"/>
    <w:rsid w:val="004E1351"/>
    <w:rsid w:val="004E62A1"/>
    <w:rsid w:val="004F4F9C"/>
    <w:rsid w:val="00503500"/>
    <w:rsid w:val="00504237"/>
    <w:rsid w:val="0053466E"/>
    <w:rsid w:val="0054756C"/>
    <w:rsid w:val="00554852"/>
    <w:rsid w:val="005604C1"/>
    <w:rsid w:val="005636E5"/>
    <w:rsid w:val="00572C07"/>
    <w:rsid w:val="0058054B"/>
    <w:rsid w:val="005805F3"/>
    <w:rsid w:val="00582938"/>
    <w:rsid w:val="005C0E68"/>
    <w:rsid w:val="005C4266"/>
    <w:rsid w:val="005D43E5"/>
    <w:rsid w:val="005E318D"/>
    <w:rsid w:val="005E6229"/>
    <w:rsid w:val="005F00B7"/>
    <w:rsid w:val="005F03ED"/>
    <w:rsid w:val="005F283F"/>
    <w:rsid w:val="005F5DA3"/>
    <w:rsid w:val="005F6D49"/>
    <w:rsid w:val="00601210"/>
    <w:rsid w:val="00602975"/>
    <w:rsid w:val="006129CD"/>
    <w:rsid w:val="00615760"/>
    <w:rsid w:val="00641FD4"/>
    <w:rsid w:val="00647533"/>
    <w:rsid w:val="00657237"/>
    <w:rsid w:val="0066272B"/>
    <w:rsid w:val="00667C66"/>
    <w:rsid w:val="006710AA"/>
    <w:rsid w:val="00673F68"/>
    <w:rsid w:val="00681DE1"/>
    <w:rsid w:val="006A1B2C"/>
    <w:rsid w:val="006A3B25"/>
    <w:rsid w:val="006A3B76"/>
    <w:rsid w:val="006B4020"/>
    <w:rsid w:val="006C0CF3"/>
    <w:rsid w:val="006C4C22"/>
    <w:rsid w:val="006C4F93"/>
    <w:rsid w:val="006C75EF"/>
    <w:rsid w:val="006E488D"/>
    <w:rsid w:val="006E4E97"/>
    <w:rsid w:val="006F1605"/>
    <w:rsid w:val="006F2902"/>
    <w:rsid w:val="00702CFF"/>
    <w:rsid w:val="007043B6"/>
    <w:rsid w:val="00705E35"/>
    <w:rsid w:val="00717098"/>
    <w:rsid w:val="00721692"/>
    <w:rsid w:val="00721DB9"/>
    <w:rsid w:val="00722885"/>
    <w:rsid w:val="00733149"/>
    <w:rsid w:val="00736E8D"/>
    <w:rsid w:val="00741A35"/>
    <w:rsid w:val="00762C49"/>
    <w:rsid w:val="007713D9"/>
    <w:rsid w:val="00781DC6"/>
    <w:rsid w:val="007849D1"/>
    <w:rsid w:val="007909A0"/>
    <w:rsid w:val="007914AE"/>
    <w:rsid w:val="007A1C7D"/>
    <w:rsid w:val="007C12EB"/>
    <w:rsid w:val="007D05DC"/>
    <w:rsid w:val="007D28B2"/>
    <w:rsid w:val="00806786"/>
    <w:rsid w:val="008169A7"/>
    <w:rsid w:val="008175D7"/>
    <w:rsid w:val="00817C9C"/>
    <w:rsid w:val="008301C9"/>
    <w:rsid w:val="008322D4"/>
    <w:rsid w:val="00833765"/>
    <w:rsid w:val="0084050A"/>
    <w:rsid w:val="0085327D"/>
    <w:rsid w:val="00854AFE"/>
    <w:rsid w:val="00871235"/>
    <w:rsid w:val="00875459"/>
    <w:rsid w:val="00891957"/>
    <w:rsid w:val="008A0CE7"/>
    <w:rsid w:val="008A2781"/>
    <w:rsid w:val="008B09E9"/>
    <w:rsid w:val="008B0F2C"/>
    <w:rsid w:val="008C0535"/>
    <w:rsid w:val="008E4862"/>
    <w:rsid w:val="008E6C79"/>
    <w:rsid w:val="008F6FB4"/>
    <w:rsid w:val="0091493A"/>
    <w:rsid w:val="0093585D"/>
    <w:rsid w:val="0094506F"/>
    <w:rsid w:val="009535C3"/>
    <w:rsid w:val="00960A46"/>
    <w:rsid w:val="00972845"/>
    <w:rsid w:val="00981466"/>
    <w:rsid w:val="00982C48"/>
    <w:rsid w:val="009874EB"/>
    <w:rsid w:val="009A1663"/>
    <w:rsid w:val="009F3FA9"/>
    <w:rsid w:val="00A07773"/>
    <w:rsid w:val="00A12569"/>
    <w:rsid w:val="00A15C62"/>
    <w:rsid w:val="00A20437"/>
    <w:rsid w:val="00A21413"/>
    <w:rsid w:val="00A24251"/>
    <w:rsid w:val="00A265F9"/>
    <w:rsid w:val="00A347DB"/>
    <w:rsid w:val="00A34E9B"/>
    <w:rsid w:val="00A71595"/>
    <w:rsid w:val="00A71971"/>
    <w:rsid w:val="00A84A49"/>
    <w:rsid w:val="00A956FA"/>
    <w:rsid w:val="00AA117E"/>
    <w:rsid w:val="00AA46FC"/>
    <w:rsid w:val="00AC6578"/>
    <w:rsid w:val="00AD100C"/>
    <w:rsid w:val="00AE5F4D"/>
    <w:rsid w:val="00AF6BDB"/>
    <w:rsid w:val="00B2646E"/>
    <w:rsid w:val="00B31E1F"/>
    <w:rsid w:val="00B3542B"/>
    <w:rsid w:val="00B40AA1"/>
    <w:rsid w:val="00B519CF"/>
    <w:rsid w:val="00B535B4"/>
    <w:rsid w:val="00B53E52"/>
    <w:rsid w:val="00B672BB"/>
    <w:rsid w:val="00B7089B"/>
    <w:rsid w:val="00BA7396"/>
    <w:rsid w:val="00BA7877"/>
    <w:rsid w:val="00BB6695"/>
    <w:rsid w:val="00BD4282"/>
    <w:rsid w:val="00BE11B9"/>
    <w:rsid w:val="00BE344E"/>
    <w:rsid w:val="00BF43F4"/>
    <w:rsid w:val="00C06EC3"/>
    <w:rsid w:val="00C111D8"/>
    <w:rsid w:val="00C14F57"/>
    <w:rsid w:val="00C179F9"/>
    <w:rsid w:val="00C241C7"/>
    <w:rsid w:val="00C32E83"/>
    <w:rsid w:val="00C450DD"/>
    <w:rsid w:val="00C458F1"/>
    <w:rsid w:val="00C4694C"/>
    <w:rsid w:val="00C5148C"/>
    <w:rsid w:val="00C549B4"/>
    <w:rsid w:val="00C72668"/>
    <w:rsid w:val="00C75227"/>
    <w:rsid w:val="00C75DF0"/>
    <w:rsid w:val="00C773E3"/>
    <w:rsid w:val="00C87DA2"/>
    <w:rsid w:val="00CC0D55"/>
    <w:rsid w:val="00D014FE"/>
    <w:rsid w:val="00D06D2A"/>
    <w:rsid w:val="00D25692"/>
    <w:rsid w:val="00D2720B"/>
    <w:rsid w:val="00D27C82"/>
    <w:rsid w:val="00D36EDF"/>
    <w:rsid w:val="00D4308A"/>
    <w:rsid w:val="00D505D4"/>
    <w:rsid w:val="00D708E8"/>
    <w:rsid w:val="00D77412"/>
    <w:rsid w:val="00D775A9"/>
    <w:rsid w:val="00D87CB1"/>
    <w:rsid w:val="00DA453C"/>
    <w:rsid w:val="00DB1891"/>
    <w:rsid w:val="00DB7DAA"/>
    <w:rsid w:val="00DD37BE"/>
    <w:rsid w:val="00E3478E"/>
    <w:rsid w:val="00E54555"/>
    <w:rsid w:val="00E57AB2"/>
    <w:rsid w:val="00E61671"/>
    <w:rsid w:val="00E721E9"/>
    <w:rsid w:val="00E75E76"/>
    <w:rsid w:val="00E80201"/>
    <w:rsid w:val="00E8076E"/>
    <w:rsid w:val="00E91637"/>
    <w:rsid w:val="00E95789"/>
    <w:rsid w:val="00EB2632"/>
    <w:rsid w:val="00EB7812"/>
    <w:rsid w:val="00EC58BD"/>
    <w:rsid w:val="00ED0AF4"/>
    <w:rsid w:val="00ED0F74"/>
    <w:rsid w:val="00ED2785"/>
    <w:rsid w:val="00ED4766"/>
    <w:rsid w:val="00EE0AD9"/>
    <w:rsid w:val="00EF1D5B"/>
    <w:rsid w:val="00F14603"/>
    <w:rsid w:val="00F1558B"/>
    <w:rsid w:val="00F20105"/>
    <w:rsid w:val="00F34423"/>
    <w:rsid w:val="00F70081"/>
    <w:rsid w:val="00F72683"/>
    <w:rsid w:val="00F7433F"/>
    <w:rsid w:val="00F77D19"/>
    <w:rsid w:val="00F829CD"/>
    <w:rsid w:val="00FA339D"/>
    <w:rsid w:val="00FA6472"/>
    <w:rsid w:val="00FB5EE2"/>
    <w:rsid w:val="00FB6BD5"/>
    <w:rsid w:val="00FB7CBA"/>
    <w:rsid w:val="00FC2A13"/>
    <w:rsid w:val="00FD4330"/>
    <w:rsid w:val="00FF1494"/>
    <w:rsid w:val="00FF200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A75CDF"/>
  <w15:docId w15:val="{A997DE02-AB69-4E6A-839F-91270004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eastAsia="Calibri" w:hAnsi="Arial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Times New Roman"/>
      <w:b/>
      <w:sz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eastAsia="Calibri" w:hAnsi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Times New Roman"/>
      <w:sz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/>
      <w:vanish/>
      <w:sz w:val="18"/>
    </w:rPr>
  </w:style>
  <w:style w:type="table" w:styleId="LightGrid-Accent5">
    <w:name w:val="Light Grid Accent 5"/>
    <w:basedOn w:val="TableNormal"/>
    <w:uiPriority w:val="99"/>
    <w:rsid w:val="000511F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sz w:val="20"/>
      <w:lang w:val="en-GB" w:eastAsia="en-GB"/>
    </w:rPr>
  </w:style>
  <w:style w:type="character" w:styleId="Emphasis">
    <w:name w:val="Emphasis"/>
    <w:basedOn w:val="DefaultParagraphFont"/>
    <w:uiPriority w:val="99"/>
    <w:qFormat/>
    <w:locked/>
    <w:rsid w:val="00B672BB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481C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F4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81C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F4"/>
    <w:rPr>
      <w:rFonts w:ascii="Garamond" w:eastAsia="Times New Roman" w:hAnsi="Garamond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Microsoft account</cp:lastModifiedBy>
  <cp:revision>12</cp:revision>
  <cp:lastPrinted>2024-12-19T06:10:00Z</cp:lastPrinted>
  <dcterms:created xsi:type="dcterms:W3CDTF">2024-12-18T10:22:00Z</dcterms:created>
  <dcterms:modified xsi:type="dcterms:W3CDTF">2024-12-19T06:11:00Z</dcterms:modified>
</cp:coreProperties>
</file>