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5B" w:rsidRPr="00E237AA" w:rsidRDefault="00E237AA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bCs w:val="0"/>
          <w:noProof/>
          <w:color w:val="17365D"/>
          <w:szCs w:val="24"/>
          <w:lang w:val="sr-Latn-CS"/>
        </w:rPr>
      </w:pPr>
      <w:r>
        <w:rPr>
          <w:rFonts w:ascii="Arial" w:hAnsi="Arial" w:cs="Arial"/>
          <w:b/>
          <w:bCs w:val="0"/>
          <w:noProof/>
          <w:color w:val="17365D"/>
          <w:szCs w:val="24"/>
          <w:lang w:val="sr-Latn-CS"/>
        </w:rPr>
        <w:t>RIA</w:t>
      </w:r>
      <w:r w:rsidR="008D2420" w:rsidRPr="00E237AA">
        <w:rPr>
          <w:rFonts w:ascii="Arial" w:hAnsi="Arial" w:cs="Arial"/>
          <w:b/>
          <w:bCs w:val="0"/>
          <w:noProof/>
          <w:color w:val="17365D"/>
          <w:szCs w:val="24"/>
          <w:lang w:val="sr-Latn-CS"/>
        </w:rPr>
        <w:t xml:space="preserve"> </w:t>
      </w:r>
      <w:r>
        <w:rPr>
          <w:rFonts w:ascii="Arial" w:hAnsi="Arial" w:cs="Arial"/>
          <w:b/>
          <w:bCs w:val="0"/>
          <w:noProof/>
          <w:color w:val="17365D"/>
          <w:szCs w:val="24"/>
          <w:lang w:val="sr-Latn-CS"/>
        </w:rPr>
        <w:t>OBRAZAC</w:t>
      </w:r>
    </w:p>
    <w:p w:rsidR="00EF1D5B" w:rsidRPr="00E237AA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Latn-CS"/>
        </w:rPr>
      </w:pPr>
    </w:p>
    <w:p w:rsidR="00EF1D5B" w:rsidRPr="00E237AA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Latn-CS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EF1D5B" w:rsidRPr="00E237AA" w:rsidTr="000F05ED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EF1D5B" w:rsidRPr="00E237AA" w:rsidRDefault="00E237AA" w:rsidP="002517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IZVJEŠTAJ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ANALIZI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UTICAJA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Latn-CS"/>
              </w:rPr>
              <w:t>SAMOUPRAVE</w:t>
            </w:r>
          </w:p>
        </w:tc>
      </w:tr>
      <w:tr w:rsidR="00EF1D5B" w:rsidRPr="00E237AA" w:rsidTr="000F05ED">
        <w:tc>
          <w:tcPr>
            <w:tcW w:w="3978" w:type="dxa"/>
            <w:shd w:val="clear" w:color="auto" w:fill="D2EAF1"/>
          </w:tcPr>
          <w:p w:rsidR="00EF1D5B" w:rsidRPr="00E237AA" w:rsidRDefault="00E237AA" w:rsidP="002517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OBRAĐIVAČ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5598" w:type="dxa"/>
            <w:shd w:val="clear" w:color="auto" w:fill="D2EAF1"/>
          </w:tcPr>
          <w:p w:rsidR="00EF1D5B" w:rsidRPr="00E237AA" w:rsidRDefault="00E237AA" w:rsidP="002517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Sekretarijat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kulturu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sport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mlade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</w:t>
            </w:r>
            <w:r w:rsidR="00975D2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staranje</w:t>
            </w:r>
          </w:p>
        </w:tc>
      </w:tr>
      <w:tr w:rsidR="00EF1D5B" w:rsidRPr="00E237AA" w:rsidTr="000F05ED">
        <w:tc>
          <w:tcPr>
            <w:tcW w:w="3978" w:type="dxa"/>
          </w:tcPr>
          <w:p w:rsidR="00EF1D5B" w:rsidRPr="00E237AA" w:rsidRDefault="00E237AA" w:rsidP="002517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NAZIV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</w:p>
        </w:tc>
        <w:tc>
          <w:tcPr>
            <w:tcW w:w="5598" w:type="dxa"/>
          </w:tcPr>
          <w:p w:rsidR="00EF1D5B" w:rsidRPr="00E237AA" w:rsidRDefault="00E237AA" w:rsidP="002517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1.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posledica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zahtjeva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državnom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Navesti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osnov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strateškim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dokumentima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odstupati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odredbi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državnom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mjeri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riječ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sopstvenim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nadležnostima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prenesenom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povjerenom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riješi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predloženi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dimenziju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posebni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uzroci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posledice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subjekti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oštećeni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način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mjeri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-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muškarci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</w:t>
            </w:r>
          </w:p>
          <w:p w:rsidR="00EF1D5B" w:rsidRPr="00E237AA" w:rsidRDefault="00E237AA" w:rsidP="00984C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evoluirao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bez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promjene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q</w:t>
            </w:r>
            <w:r w:rsidR="00984C72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)?</w:t>
            </w: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EF1D5B" w:rsidRPr="00E237AA" w:rsidRDefault="00E237AA" w:rsidP="005F283F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 posledica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zahtjeva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državnom</w:t>
            </w:r>
            <w:r w:rsidR="00A12C5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A12C58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osnov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923D5C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za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</w:t>
            </w:r>
            <w:r w:rsidR="00923D5C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nošenje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692025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sadržan je u članu 6 stav 1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</w:t>
            </w:r>
            <w:r w:rsid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 w:rsidR="00FB1B5F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Službeni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Crne</w:t>
            </w:r>
            <w:r w:rsidR="003E3E0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Gore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broj</w:t>
            </w:r>
            <w:r w:rsidR="00FB1B5F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35/</w:t>
            </w:r>
            <w:r w:rsidR="009355D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13)</w:t>
            </w:r>
            <w:r w:rsid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i č</w:t>
            </w:r>
            <w:r w:rsidR="006F569F" w:rsidRP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lan</w:t>
            </w:r>
            <w:r w:rsid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6F569F" w:rsidRPr="006F569F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38 stav 1 tačka 4 Zakona o lokalnoj samoupravi („Službeni list Crne Gore“, br. 2/18, 34/19, 38/20, 50/22 i 84/22)</w:t>
            </w:r>
            <w:r w:rsidR="009B3FF3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odstupiti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odredbi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državnom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već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bliže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odrediti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Riječ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sopstvenim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nadležnostima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vođenju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akcentom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najugroženijih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Predloženim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teži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pitanja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problematiku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Nikšić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pitanja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postojeće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situacije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vlasništvu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Nikšić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oblasti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Konkretno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posmatrano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pitanja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vezi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katastar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zakupom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održavanjem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pitanja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riješiti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različitih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projektnih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dimenziju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poseban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aspekta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prioritetnih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samohrane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majke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žrtve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nasilja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druge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kategorije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,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pripadaju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prioritetnoj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grupi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shodno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Zakonu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socijalnom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Uzroci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neefikasna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unazad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što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poslednjih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svedeno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minimalan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neadekvatna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raspodjela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neuslovni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objekti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mahinacije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strane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nosilaca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istih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pogledu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stambenog</w:t>
            </w:r>
            <w:r w:rsidR="00DC555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pitanja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korišćenja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73207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2D1A66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Posledice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posledice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pravne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prirode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uzrokuje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neefikasna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katastar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poput</w:t>
            </w:r>
            <w:r w:rsidR="009B3FF3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:</w:t>
            </w:r>
            <w:r w:rsidR="009E11A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nemogućnosti</w:t>
            </w:r>
            <w:r w:rsidR="00EA340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donošenja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ugovora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zakupu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nemogućnosti</w:t>
            </w:r>
            <w:r w:rsidR="00EA340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promjene</w:t>
            </w:r>
            <w:r w:rsidR="003843F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vla</w:t>
            </w:r>
            <w:r w:rsidR="009B3FF3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ništva</w:t>
            </w:r>
            <w:r w:rsidR="00EA340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nosioca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stanarskog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korisnika</w:t>
            </w:r>
            <w:r w:rsidR="00EA340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usluga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električne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energije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vode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komunalnih</w:t>
            </w:r>
            <w:r w:rsidR="00EA340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usluga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...),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nezakonsko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Subjekti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oštećeni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ukoliko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vrši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vrši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efikasna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definisana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raspodjela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461690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blagovremena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sadašnjih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vlasništvu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nosioci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korisnici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opštinskom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vlasaništvu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potencijalnog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pokretanja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postupka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iseljenje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slučajevima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zloupotrebe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korišćenju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lastRenderedPageBreak/>
              <w:t>ugrožene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domaćinstva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tržištu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riješiti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nekvalitetne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neefikasn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nezakonski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CB71B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neimplementiranja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237AA" w:rsidP="005F283F">
            <w:pPr>
              <w:pStyle w:val="ListParagraph"/>
              <w:autoSpaceDE w:val="0"/>
              <w:autoSpaceDN w:val="0"/>
              <w:adjustRightInd w:val="0"/>
              <w:ind w:left="0"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slučaju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DA0FAA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qu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evaluirali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pogledu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nemogućnosti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izvršavanja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obaveza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neefikasne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katastar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nemogućnosti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ugroženih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neefikasn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nezakonski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neredovne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neadekvatne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uopšte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gubitka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vremenskog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kontinuiteta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praćenju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cjelokupne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problematike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973BEB" w:rsidRPr="00E237AA" w:rsidRDefault="00973BEB" w:rsidP="00973BE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lastRenderedPageBreak/>
              <w:t xml:space="preserve">2.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Ciljevi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postižu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predloženim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bilo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unapređuje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ravnopravnost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odgovor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unapređuje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ravnopravnost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?)</w:t>
            </w:r>
          </w:p>
          <w:p w:rsidR="00EF1D5B" w:rsidRPr="00E237AA" w:rsidRDefault="00EF1D5B" w:rsidP="000F05E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EF1D5B" w:rsidRPr="00E237AA" w:rsidRDefault="00EF1D5B" w:rsidP="00B35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     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Predloženim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propisom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postižu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sljedeći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evidentiranje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realizovanje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nijesu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realizovane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pravovremeno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poput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objekata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katastar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prioritetnih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efikasnom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definisanom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raspodjelom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973BE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redovnom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revizijom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implementacijom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projekata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kvalitetno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pravovremeno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praćenje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lokalnom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nivou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237AA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unapređuje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ravnopravnost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leži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“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prioritetnih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samohranih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majki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žrtvi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nasilja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lica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invaliditetom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starijih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...</w:t>
            </w:r>
          </w:p>
          <w:p w:rsidR="00EF1D5B" w:rsidRPr="00E237AA" w:rsidRDefault="00EF1D5B" w:rsidP="00204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3.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Opcije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Zašto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neophodan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? -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ispunjavanje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uvijek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razmatrati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q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preporučljivo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uključiti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neregulatornu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osim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obaveza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predloženog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).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Obrazložiti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preferiranu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dimenzija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preferirana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unapređuje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ravnopravnost</w:t>
            </w:r>
            <w:r w:rsidR="0097138B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: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među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muškarcima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?)</w:t>
            </w: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3C4D88" w:rsidRPr="00E237AA" w:rsidRDefault="003C4D88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B3542B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ovom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slučaju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obaveza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shodno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 w:rsidR="00DA0FAA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Službeni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Crne</w:t>
            </w:r>
            <w:r w:rsidR="00DA0FAA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Gore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broj</w:t>
            </w:r>
            <w:r w:rsidR="00DA0FAA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35/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13).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sveobuhvatan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uokviren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pisani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djelovanja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zadataka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planova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čega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jeste</w:t>
            </w:r>
            <w:r w:rsidR="002D1A66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neophodan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237AA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ispunjavanje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q</w:t>
            </w:r>
            <w:r w:rsidR="003C4D8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konstantna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efektivna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komunikacija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između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nadležnih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okviru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socijalne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pravovremena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kvalitetna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promjena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okvirima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okvirima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ispitivanja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akcentom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efikasn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zakonski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definisan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posredstvom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solidarnog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timskog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djelovanja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većeg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broja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obezbjeđivanjem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podrške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međunarodnih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zajednica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drugih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donatora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svakom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segmentu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navedenih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riješiti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slučaju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q</w:t>
            </w:r>
            <w:r w:rsidR="00DA0FAA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“,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neposredno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posredno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djelovati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realizaciji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dimenzije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F1D5B" w:rsidP="003C4D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4.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Analiza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uticaja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koga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najvjerovatnije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nabrojati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negativne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direktne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indirektne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?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negativne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direktne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indirektne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?)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troškove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uštede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izazvati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privredi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naročito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malim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srednjim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preduzećima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posljedice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opravdavaju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troškove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stvoriti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lastRenderedPageBreak/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podržava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stvaranje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novih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privrednih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subjekata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tržištu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tržišna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konkurencija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1D40DD" w:rsidRDefault="00E237AA" w:rsidP="001D40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Uključiti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procjenu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administrativnih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opterećenja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biznis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barijera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najviše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ugrožene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kategorije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stanovništva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okarakterisane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prioritene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trenutne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kroz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kroz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evidentiranje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svrhu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pružanja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najboljeg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mogućeg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odgovora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zadovoljavanju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utiču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direktno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pogledu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njihovog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statusa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negativno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situacijama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radi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bespravnom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Takođe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utiču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pozitivno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ovom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problematikom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zbog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posjedovanja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sveobuhvatne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mogućnosti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pravovremenog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adekvatnog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 w:rsidR="00F531DB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Definišu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postizanje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kohezije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društvene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solidarnosti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kroz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obezbjeđivanje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prostora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nemaju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obezbijede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objekat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posredstvom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kvalitetne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trenutnih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poboljšanje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kvaliteta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života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građana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posebno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pripadnika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ranjivih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društvenih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tržišu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riješe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poštujući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rodnu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dimenziju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). </w:t>
            </w:r>
          </w:p>
          <w:p w:rsidR="00EF1D5B" w:rsidRPr="00E237AA" w:rsidRDefault="00E237AA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izaziva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troškove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uštede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direktno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posmatrano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indirektno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izazvati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troškove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uštede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obezbjeđivanjem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omogućiti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ušteda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mora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plaćati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zakup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nekog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drugog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objekta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zakup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opštinskog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ukoliko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materijalnog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slučaju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neophodnosti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rekonstrukcije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uređivanja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njenog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dodjeljivanja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izazvati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trošak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malim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srednjim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preduzećima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ukoliko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pojavljuju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partneri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rekonstrukciji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Opštini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ukoliko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institucija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ulaže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rekontrukciju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slično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).</w:t>
            </w:r>
          </w:p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5.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Procjena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fiskalnog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uticaja</w:t>
            </w:r>
          </w:p>
          <w:p w:rsidR="003C4D88" w:rsidRPr="00E237AA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utiče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visinu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prihoda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troškova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finansijskih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sredstava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Crne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Gore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iznosu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obezbjeđenje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finansijskih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sredstava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jednokratno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tokom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određenog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vremenskog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perioda</w:t>
            </w:r>
            <w:r w:rsidR="00F3459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Obrazložiti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neophodna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finansijska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sredstva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obezbijeđena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Crne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Gore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tekuću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fiskalnu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narednu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fiskalnu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ostvariti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prihod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Crne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Gore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potencijalni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korisnik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procentu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korisnici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muškarci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?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budžeta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može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uzrok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neravnopravnosti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između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muškaraca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?)</w:t>
            </w:r>
          </w:p>
          <w:p w:rsidR="00EF1D5B" w:rsidRPr="00E237AA" w:rsidRDefault="00EF1D5B" w:rsidP="005B7420">
            <w:pPr>
              <w:pStyle w:val="ListParagraph"/>
              <w:ind w:left="63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3C4D88" w:rsidRPr="00E237AA" w:rsidRDefault="003C4D88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91493A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utiče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direktno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visinu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prihoda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troškova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samouprave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što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znači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pojaviti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toku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realizacije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rješavanja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zadataka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polju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</w:p>
          <w:p w:rsidR="00EF1D5B" w:rsidRPr="00E237AA" w:rsidRDefault="00EF1D5B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Obezbjeđenje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finansijskih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sredstava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iz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budžeta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samouprava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odnosno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budžeta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Crne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Gore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potrebno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(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može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biti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unaprijed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definisano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),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već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izdaci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ili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prihodi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mogu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pojaviti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toku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realizacije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planiranih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aktivnosti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projekata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Budžetom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Opštine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Nikšić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nijesu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obezbijeđena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finansijska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sredstva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202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planiranih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Međutim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ako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obzir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uzima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sama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problematika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socijalnog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može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istaći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je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budžetom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narednu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opredijeljeno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393A1C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1.500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,00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€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stanovanje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 w:rsidR="00393A1C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1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.000,00€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rješavanje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stambenih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pitanja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lica</w:t>
            </w:r>
            <w:r w:rsidR="008621F2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="008621F2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stanju</w:t>
            </w:r>
            <w:r w:rsidR="008621F2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socijalne</w:t>
            </w:r>
            <w:r w:rsidR="008621F2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potrebe</w:t>
            </w:r>
            <w:r w:rsidR="00050721" w:rsidRPr="00E237AA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lastRenderedPageBreak/>
              <w:t>Shodno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tome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finansijska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sredstva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planiranih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projekata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nijesu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obezbijeđena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direktno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budžetom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Opštine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Nikšić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kao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namjenska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sredstva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realizaciju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Lokalnog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procjene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uticaja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istog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muškarce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žene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uzroka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njihove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neravnopravnosti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lastRenderedPageBreak/>
              <w:t xml:space="preserve">6.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zainteresovanih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strana</w:t>
            </w:r>
          </w:p>
          <w:p w:rsidR="003C4D88" w:rsidRPr="00E237AA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Naznačiti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eksterna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ekspertska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podrška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Naznačiti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zainteresovanih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konsultovane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fazi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RIA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procesa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kako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javne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ciljane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).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predstavnice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udruženja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ranjivih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bile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uključene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Naznačiti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glavne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rezultate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sugestije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zainteresovanih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prihvaćeni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odnosno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nijesu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prihvaćeni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Obrazložiti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5B7420" w:rsidRPr="00E237AA" w:rsidRDefault="005B7420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Eksterna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ekspertska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podrška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korišćena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prilikom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izrade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bila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neophodna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saglasnost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Ministarstva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ekologije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prostornog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planiranja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urbanizma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shodno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zakonskoj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obavezi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donošenja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postupku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pripreme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Predloga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831F7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Sekretarijat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kulturu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mlade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staranje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izvršio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imaju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dodirnih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tačaka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politikom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način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prikupljeni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potrebni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podaci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obrađeni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konkretizovani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kroz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pojedinačna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poglavlja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upareni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podacima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ovog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Sekretarijata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Predstavnici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ženskih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udruženja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ranjivih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nijesu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uključeni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toku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kreiranja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već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uključeni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toku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realizacije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tokom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),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kada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podnose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primjer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svoje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predloge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rješavanje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stambene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situacije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određenih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prioritetnih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grupa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utiču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rješavanje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problema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ovoj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oblasti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slično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Predloga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sugestija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izradu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za</w:t>
            </w:r>
            <w:r w:rsidR="00C03D31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nije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bilo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 w:themeColor="text2" w:themeShade="BF"/>
                <w:sz w:val="20"/>
                <w:szCs w:val="20"/>
                <w:lang w:val="sr-Latn-CS"/>
              </w:rPr>
              <w:t>.</w:t>
            </w:r>
          </w:p>
          <w:p w:rsidR="008621F2" w:rsidRPr="00E237AA" w:rsidRDefault="008621F2" w:rsidP="00862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  <w:tr w:rsidR="00EF1D5B" w:rsidRPr="00E237AA" w:rsidTr="000F05ED">
        <w:tc>
          <w:tcPr>
            <w:tcW w:w="9576" w:type="dxa"/>
            <w:gridSpan w:val="2"/>
            <w:shd w:val="clear" w:color="auto" w:fill="D2EAF1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7.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Monitoring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 w:rsid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evaluacija</w:t>
            </w:r>
          </w:p>
          <w:p w:rsidR="003C4D88" w:rsidRPr="00E237AA" w:rsidRDefault="003C4D8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potencijalne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prepreke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? 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glavni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indikatori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mjeriti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ispunjenje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  <w:p w:rsidR="00EF1D5B" w:rsidRPr="00E237AA" w:rsidRDefault="00E237AA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zadužen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sprovođenje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monitoringa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evaluacije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?</w:t>
            </w:r>
          </w:p>
        </w:tc>
      </w:tr>
      <w:tr w:rsidR="00EF1D5B" w:rsidRPr="00E237AA" w:rsidTr="000F05ED">
        <w:tc>
          <w:tcPr>
            <w:tcW w:w="9576" w:type="dxa"/>
            <w:gridSpan w:val="2"/>
          </w:tcPr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Potencijalne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prepreke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implementaciju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mogu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predstavljati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neadekvatno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izvršavanje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obaveza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strane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određenih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npr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uknjižbi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stambenih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jedinica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raspodjeli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istih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reviziji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stanarskih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prava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...)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ili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uopšte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neizvršavanje</w:t>
            </w:r>
            <w:r w:rsidR="00050721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redovnih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ovom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polju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ispunili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tokom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propisa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ostvarivati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saradnja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svim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relevantnim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drugim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subjektima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od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kojih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zavisi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realizacija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planiranih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vršiće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redovne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konsultacije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unutar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nadležnog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Glavni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indikator</w:t>
            </w:r>
            <w:r w:rsidR="001D40DD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prema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mjeriti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ispunjenje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ciljeva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su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evidencija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rada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Komisije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zapisnici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Komisije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,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godišnji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Izvještaj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nadležnog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organa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uprave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Sekretarijat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kulturu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sport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mlade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staranje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),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godišnji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Izvještaj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Ministarstvu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ekologije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prostornog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planiranja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urbanizma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vezi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realizovanim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planiranim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aktivnostima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shodno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Lokalnom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  <w:r w:rsidR="00A25B34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</w:p>
          <w:p w:rsidR="00EF1D5B" w:rsidRPr="00E237AA" w:rsidRDefault="00E237AA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sprovođenje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monitoringa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evaluacije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primjene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Lokalnog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programa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socijalnog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stanovanja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8C4138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202</w:t>
            </w:r>
            <w:r w:rsidR="008621F2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3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godinu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biće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zadužen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Sekretarijat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za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kulturu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sport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mlade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i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socijalno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staranje</w:t>
            </w:r>
            <w:r w:rsidR="00EF1D5B" w:rsidRPr="00E237A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  <w:t>.</w:t>
            </w:r>
          </w:p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  <w:p w:rsidR="00EF1D5B" w:rsidRPr="00E237AA" w:rsidRDefault="00EF1D5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CS"/>
              </w:rPr>
            </w:pPr>
          </w:p>
        </w:tc>
      </w:tr>
    </w:tbl>
    <w:p w:rsidR="00EF1D5B" w:rsidRPr="00E237AA" w:rsidRDefault="00EF1D5B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noProof/>
          <w:sz w:val="20"/>
          <w:szCs w:val="20"/>
          <w:lang w:val="sr-Latn-CS"/>
        </w:rPr>
      </w:pPr>
    </w:p>
    <w:p w:rsidR="00EF1D5B" w:rsidRDefault="00EF1D5B">
      <w:pPr>
        <w:rPr>
          <w:rFonts w:ascii="Arial" w:hAnsi="Arial" w:cs="Arial"/>
          <w:b/>
          <w:noProof/>
          <w:lang w:val="sr-Latn-CS"/>
        </w:rPr>
      </w:pPr>
    </w:p>
    <w:p w:rsidR="001D40DD" w:rsidRPr="00E237AA" w:rsidRDefault="001D40DD">
      <w:pPr>
        <w:rPr>
          <w:rFonts w:ascii="Arial" w:hAnsi="Arial" w:cs="Arial"/>
          <w:b/>
          <w:noProof/>
          <w:lang w:val="sr-Latn-CS"/>
        </w:rPr>
      </w:pPr>
    </w:p>
    <w:p w:rsidR="00EF1D5B" w:rsidRPr="00E237AA" w:rsidRDefault="00512CBE">
      <w:pPr>
        <w:rPr>
          <w:rFonts w:ascii="Arial" w:hAnsi="Arial" w:cs="Arial"/>
          <w:b/>
          <w:noProof/>
          <w:color w:val="17365D"/>
          <w:lang w:val="sr-Latn-CS"/>
        </w:rPr>
      </w:pPr>
      <w:r w:rsidRPr="00E237AA">
        <w:rPr>
          <w:rFonts w:ascii="Arial" w:hAnsi="Arial" w:cs="Arial"/>
          <w:b/>
          <w:noProof/>
          <w:color w:val="17365D"/>
          <w:lang w:val="sr-Latn-CS"/>
        </w:rPr>
        <w:t xml:space="preserve">  </w:t>
      </w:r>
      <w:r w:rsidR="00E237AA">
        <w:rPr>
          <w:rFonts w:ascii="Arial" w:hAnsi="Arial" w:cs="Arial"/>
          <w:b/>
          <w:noProof/>
          <w:color w:val="17365D"/>
          <w:lang w:val="sr-Latn-CS"/>
        </w:rPr>
        <w:t>Datum</w:t>
      </w:r>
      <w:r w:rsidR="001F1799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E237AA">
        <w:rPr>
          <w:rFonts w:ascii="Arial" w:hAnsi="Arial" w:cs="Arial"/>
          <w:b/>
          <w:noProof/>
          <w:color w:val="17365D"/>
          <w:lang w:val="sr-Latn-CS"/>
        </w:rPr>
        <w:t>i</w:t>
      </w:r>
      <w:r w:rsidR="001F1799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E237AA">
        <w:rPr>
          <w:rFonts w:ascii="Arial" w:hAnsi="Arial" w:cs="Arial"/>
          <w:b/>
          <w:noProof/>
          <w:color w:val="17365D"/>
          <w:lang w:val="sr-Latn-CS"/>
        </w:rPr>
        <w:t>mjesto</w:t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ab/>
        <w:t xml:space="preserve">   </w:t>
      </w:r>
      <w:r w:rsidR="001F1799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8621F2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1F1799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EF1D5B" w:rsidRPr="00E237AA">
        <w:rPr>
          <w:rFonts w:ascii="Arial" w:hAnsi="Arial" w:cs="Arial"/>
          <w:b/>
          <w:noProof/>
          <w:color w:val="17365D"/>
          <w:lang w:val="sr-Latn-CS"/>
        </w:rPr>
        <w:t xml:space="preserve">  </w:t>
      </w:r>
      <w:r w:rsidR="007713F0" w:rsidRPr="00E237AA">
        <w:rPr>
          <w:rFonts w:ascii="Arial" w:hAnsi="Arial" w:cs="Arial"/>
          <w:b/>
          <w:noProof/>
          <w:color w:val="17365D"/>
          <w:lang w:val="sr-Latn-CS"/>
        </w:rPr>
        <w:tab/>
      </w:r>
      <w:r w:rsidR="008621F2" w:rsidRPr="00E237AA">
        <w:rPr>
          <w:rFonts w:ascii="Arial" w:hAnsi="Arial" w:cs="Arial"/>
          <w:b/>
          <w:noProof/>
          <w:color w:val="17365D"/>
          <w:lang w:val="sr-Latn-CS"/>
        </w:rPr>
        <w:t xml:space="preserve">  </w:t>
      </w:r>
      <w:r w:rsidR="007713F0" w:rsidRPr="00E237AA">
        <w:rPr>
          <w:rFonts w:ascii="Arial" w:hAnsi="Arial" w:cs="Arial"/>
          <w:b/>
          <w:noProof/>
          <w:color w:val="17365D"/>
          <w:lang w:val="sr-Latn-CS"/>
        </w:rPr>
        <w:t xml:space="preserve"> </w:t>
      </w:r>
      <w:r w:rsidR="00E237AA">
        <w:rPr>
          <w:rFonts w:ascii="Arial" w:hAnsi="Arial" w:cs="Arial"/>
          <w:b/>
          <w:noProof/>
          <w:color w:val="17365D"/>
          <w:lang w:val="sr-Latn-CS"/>
        </w:rPr>
        <w:t>STARJEŠINA</w:t>
      </w:r>
    </w:p>
    <w:p w:rsidR="00EF1D5B" w:rsidRPr="00E237AA" w:rsidRDefault="00EF1D5B">
      <w:pPr>
        <w:rPr>
          <w:rFonts w:ascii="Arial" w:hAnsi="Arial" w:cs="Arial"/>
          <w:noProof/>
          <w:sz w:val="16"/>
          <w:szCs w:val="16"/>
          <w:lang w:val="sr-Latn-CS"/>
        </w:rPr>
      </w:pPr>
    </w:p>
    <w:p w:rsidR="00EF1D5B" w:rsidRPr="00E237AA" w:rsidRDefault="00E237AA">
      <w:pPr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color w:val="17365D"/>
          <w:lang w:val="sr-Latn-CS"/>
        </w:rPr>
        <w:t>Nikšić</w:t>
      </w:r>
      <w:r w:rsidR="00EF1D5B" w:rsidRPr="00E237AA">
        <w:rPr>
          <w:rFonts w:ascii="Arial" w:hAnsi="Arial" w:cs="Arial"/>
          <w:noProof/>
          <w:color w:val="17365D"/>
          <w:lang w:val="sr-Latn-CS"/>
        </w:rPr>
        <w:t xml:space="preserve">, </w:t>
      </w:r>
      <w:r w:rsidR="008621F2" w:rsidRPr="00E237AA">
        <w:rPr>
          <w:rFonts w:ascii="Arial" w:hAnsi="Arial" w:cs="Arial"/>
          <w:noProof/>
          <w:color w:val="17365D"/>
          <w:lang w:val="sr-Latn-CS"/>
        </w:rPr>
        <w:t>10.02</w:t>
      </w:r>
      <w:r w:rsidR="00A25B34" w:rsidRPr="00E237AA">
        <w:rPr>
          <w:rFonts w:ascii="Arial" w:hAnsi="Arial" w:cs="Arial"/>
          <w:noProof/>
          <w:color w:val="17365D"/>
          <w:lang w:val="sr-Latn-CS"/>
        </w:rPr>
        <w:t>.202</w:t>
      </w:r>
      <w:r w:rsidR="008621F2" w:rsidRPr="00E237AA">
        <w:rPr>
          <w:rFonts w:ascii="Arial" w:hAnsi="Arial" w:cs="Arial"/>
          <w:noProof/>
          <w:color w:val="17365D"/>
          <w:lang w:val="sr-Latn-CS"/>
        </w:rPr>
        <w:t>3</w:t>
      </w:r>
      <w:r w:rsidR="00EF1D5B" w:rsidRPr="00E237AA">
        <w:rPr>
          <w:rFonts w:ascii="Arial" w:hAnsi="Arial" w:cs="Arial"/>
          <w:noProof/>
          <w:color w:val="17365D"/>
          <w:lang w:val="sr-Latn-CS"/>
        </w:rPr>
        <w:t>.</w:t>
      </w:r>
      <w:r w:rsidR="00512CBE" w:rsidRPr="00E237AA">
        <w:rPr>
          <w:rFonts w:ascii="Arial" w:hAnsi="Arial" w:cs="Arial"/>
          <w:noProof/>
          <w:color w:val="17365D"/>
          <w:lang w:val="sr-Latn-CS"/>
        </w:rPr>
        <w:t xml:space="preserve"> </w:t>
      </w:r>
      <w:r>
        <w:rPr>
          <w:rFonts w:ascii="Arial" w:hAnsi="Arial" w:cs="Arial"/>
          <w:noProof/>
          <w:color w:val="17365D"/>
          <w:lang w:val="sr-Latn-CS"/>
        </w:rPr>
        <w:t>god</w:t>
      </w:r>
      <w:r w:rsidR="00512CBE" w:rsidRPr="00E237AA">
        <w:rPr>
          <w:rFonts w:ascii="Arial" w:hAnsi="Arial" w:cs="Arial"/>
          <w:noProof/>
          <w:color w:val="17365D"/>
          <w:lang w:val="sr-Latn-CS"/>
        </w:rPr>
        <w:t>.</w:t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  <w:t xml:space="preserve">        </w:t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A25B34" w:rsidRPr="00E237AA">
        <w:rPr>
          <w:rFonts w:ascii="Arial" w:hAnsi="Arial" w:cs="Arial"/>
          <w:noProof/>
          <w:color w:val="17365D"/>
          <w:lang w:val="sr-Latn-CS"/>
        </w:rPr>
        <w:t xml:space="preserve">  </w:t>
      </w:r>
      <w:r w:rsidR="007713F0" w:rsidRPr="00E237AA">
        <w:rPr>
          <w:rFonts w:ascii="Arial" w:hAnsi="Arial" w:cs="Arial"/>
          <w:noProof/>
          <w:color w:val="17365D"/>
          <w:lang w:val="sr-Latn-CS"/>
        </w:rPr>
        <w:t xml:space="preserve">         </w:t>
      </w:r>
      <w:r w:rsidR="00512CBE" w:rsidRPr="00E237AA">
        <w:rPr>
          <w:rFonts w:ascii="Arial" w:hAnsi="Arial" w:cs="Arial"/>
          <w:noProof/>
          <w:color w:val="17365D"/>
          <w:lang w:val="sr-Latn-CS"/>
        </w:rPr>
        <w:t xml:space="preserve">  </w:t>
      </w:r>
      <w:r>
        <w:rPr>
          <w:rFonts w:ascii="Arial" w:hAnsi="Arial" w:cs="Arial"/>
          <w:noProof/>
          <w:color w:val="17365D"/>
          <w:lang w:val="sr-Latn-CS"/>
        </w:rPr>
        <w:t>Dejan</w:t>
      </w:r>
      <w:r w:rsidR="007713F0" w:rsidRPr="00E237AA">
        <w:rPr>
          <w:rFonts w:ascii="Arial" w:hAnsi="Arial" w:cs="Arial"/>
          <w:noProof/>
          <w:color w:val="17365D"/>
          <w:lang w:val="sr-Latn-CS"/>
        </w:rPr>
        <w:t xml:space="preserve"> </w:t>
      </w:r>
      <w:r>
        <w:rPr>
          <w:rFonts w:ascii="Arial" w:hAnsi="Arial" w:cs="Arial"/>
          <w:noProof/>
          <w:color w:val="17365D"/>
          <w:lang w:val="sr-Latn-CS"/>
        </w:rPr>
        <w:t>Ivanović</w:t>
      </w:r>
      <w:r w:rsidR="00243BA3">
        <w:rPr>
          <w:rFonts w:ascii="Arial" w:hAnsi="Arial" w:cs="Arial"/>
          <w:noProof/>
          <w:color w:val="17365D"/>
          <w:lang w:val="sr-Latn-CS"/>
        </w:rPr>
        <w:t>, s.r.</w:t>
      </w:r>
      <w:bookmarkStart w:id="0" w:name="_GoBack"/>
      <w:bookmarkEnd w:id="0"/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noProof/>
          <w:color w:val="17365D"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  <w:r w:rsidR="00EF1D5B" w:rsidRPr="00E237AA">
        <w:rPr>
          <w:rFonts w:ascii="Arial" w:hAnsi="Arial" w:cs="Arial"/>
          <w:noProof/>
          <w:lang w:val="sr-Latn-CS"/>
        </w:rPr>
        <w:tab/>
      </w:r>
    </w:p>
    <w:sectPr w:rsidR="00EF1D5B" w:rsidRPr="00E237AA" w:rsidSect="001D4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A3" w:rsidRDefault="00DD1BA3" w:rsidP="00BA7396">
      <w:r>
        <w:separator/>
      </w:r>
    </w:p>
  </w:endnote>
  <w:endnote w:type="continuationSeparator" w:id="0">
    <w:p w:rsidR="00DD1BA3" w:rsidRDefault="00DD1BA3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A3" w:rsidRDefault="00DD1BA3" w:rsidP="00BA7396">
      <w:r>
        <w:separator/>
      </w:r>
    </w:p>
  </w:footnote>
  <w:footnote w:type="continuationSeparator" w:id="0">
    <w:p w:rsidR="00DD1BA3" w:rsidRDefault="00DD1BA3" w:rsidP="00BA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9F" w:rsidRDefault="006F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223"/>
    <w:multiLevelType w:val="multilevel"/>
    <w:tmpl w:val="4B1608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F77"/>
    <w:multiLevelType w:val="multilevel"/>
    <w:tmpl w:val="4B160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A02868"/>
    <w:multiLevelType w:val="multilevel"/>
    <w:tmpl w:val="CC2E7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5D2C"/>
    <w:multiLevelType w:val="multilevel"/>
    <w:tmpl w:val="68E220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E3D0805"/>
    <w:multiLevelType w:val="multilevel"/>
    <w:tmpl w:val="A050B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A173F"/>
    <w:multiLevelType w:val="multilevel"/>
    <w:tmpl w:val="4B1608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09B"/>
    <w:multiLevelType w:val="multilevel"/>
    <w:tmpl w:val="03C4C1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21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15"/>
  </w:num>
  <w:num w:numId="15">
    <w:abstractNumId w:val="8"/>
  </w:num>
  <w:num w:numId="16">
    <w:abstractNumId w:val="20"/>
  </w:num>
  <w:num w:numId="17">
    <w:abstractNumId w:val="13"/>
  </w:num>
  <w:num w:numId="18">
    <w:abstractNumId w:val="6"/>
  </w:num>
  <w:num w:numId="19">
    <w:abstractNumId w:val="2"/>
  </w:num>
  <w:num w:numId="20">
    <w:abstractNumId w:val="17"/>
  </w:num>
  <w:num w:numId="21">
    <w:abstractNumId w:val="1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33473"/>
    <w:rsid w:val="00043CCD"/>
    <w:rsid w:val="00050721"/>
    <w:rsid w:val="000511F0"/>
    <w:rsid w:val="000562D6"/>
    <w:rsid w:val="000629D8"/>
    <w:rsid w:val="000659F2"/>
    <w:rsid w:val="00067FCF"/>
    <w:rsid w:val="000716AC"/>
    <w:rsid w:val="00075306"/>
    <w:rsid w:val="000E5392"/>
    <w:rsid w:val="000E7E95"/>
    <w:rsid w:val="000E7FBD"/>
    <w:rsid w:val="000F05ED"/>
    <w:rsid w:val="00136E1D"/>
    <w:rsid w:val="00154647"/>
    <w:rsid w:val="00162BB1"/>
    <w:rsid w:val="001C7348"/>
    <w:rsid w:val="001D0BF0"/>
    <w:rsid w:val="001D40DD"/>
    <w:rsid w:val="001E1794"/>
    <w:rsid w:val="001E3E69"/>
    <w:rsid w:val="001F1799"/>
    <w:rsid w:val="001F4328"/>
    <w:rsid w:val="001F74A2"/>
    <w:rsid w:val="00204F0C"/>
    <w:rsid w:val="002072BA"/>
    <w:rsid w:val="002226D5"/>
    <w:rsid w:val="002251D6"/>
    <w:rsid w:val="00235BF5"/>
    <w:rsid w:val="00243BA3"/>
    <w:rsid w:val="00244B91"/>
    <w:rsid w:val="00251728"/>
    <w:rsid w:val="00267C7D"/>
    <w:rsid w:val="00282840"/>
    <w:rsid w:val="00284A91"/>
    <w:rsid w:val="00294662"/>
    <w:rsid w:val="00295023"/>
    <w:rsid w:val="002A6869"/>
    <w:rsid w:val="002D1A66"/>
    <w:rsid w:val="002E7569"/>
    <w:rsid w:val="00310915"/>
    <w:rsid w:val="00322389"/>
    <w:rsid w:val="00322DFF"/>
    <w:rsid w:val="00357476"/>
    <w:rsid w:val="003843F6"/>
    <w:rsid w:val="00392F99"/>
    <w:rsid w:val="00393A1C"/>
    <w:rsid w:val="00395587"/>
    <w:rsid w:val="003C4D88"/>
    <w:rsid w:val="003E2C66"/>
    <w:rsid w:val="003E3E0B"/>
    <w:rsid w:val="003F334E"/>
    <w:rsid w:val="00461690"/>
    <w:rsid w:val="0047459A"/>
    <w:rsid w:val="00494A64"/>
    <w:rsid w:val="004A4396"/>
    <w:rsid w:val="004B549B"/>
    <w:rsid w:val="004C1FDC"/>
    <w:rsid w:val="004E1351"/>
    <w:rsid w:val="004F283F"/>
    <w:rsid w:val="004F4F9C"/>
    <w:rsid w:val="00504237"/>
    <w:rsid w:val="00512CBE"/>
    <w:rsid w:val="0054756C"/>
    <w:rsid w:val="005756F1"/>
    <w:rsid w:val="005805F3"/>
    <w:rsid w:val="005B7420"/>
    <w:rsid w:val="005C4266"/>
    <w:rsid w:val="005D43E5"/>
    <w:rsid w:val="005F00B7"/>
    <w:rsid w:val="005F03ED"/>
    <w:rsid w:val="005F283F"/>
    <w:rsid w:val="005F6D49"/>
    <w:rsid w:val="00601210"/>
    <w:rsid w:val="006129CD"/>
    <w:rsid w:val="00655AF0"/>
    <w:rsid w:val="00667956"/>
    <w:rsid w:val="006710AA"/>
    <w:rsid w:val="006729C3"/>
    <w:rsid w:val="00673F68"/>
    <w:rsid w:val="00681DE1"/>
    <w:rsid w:val="00692025"/>
    <w:rsid w:val="006A1B2C"/>
    <w:rsid w:val="006A3B25"/>
    <w:rsid w:val="006A3B76"/>
    <w:rsid w:val="006B4020"/>
    <w:rsid w:val="006C4F93"/>
    <w:rsid w:val="006E4E97"/>
    <w:rsid w:val="006F1163"/>
    <w:rsid w:val="006F1605"/>
    <w:rsid w:val="006F569F"/>
    <w:rsid w:val="00702CFF"/>
    <w:rsid w:val="007043B6"/>
    <w:rsid w:val="00705E35"/>
    <w:rsid w:val="00721692"/>
    <w:rsid w:val="00721DB9"/>
    <w:rsid w:val="00722885"/>
    <w:rsid w:val="00732071"/>
    <w:rsid w:val="00733149"/>
    <w:rsid w:val="00736E8D"/>
    <w:rsid w:val="00741A35"/>
    <w:rsid w:val="00762C49"/>
    <w:rsid w:val="007713F0"/>
    <w:rsid w:val="007849D1"/>
    <w:rsid w:val="007A1C7D"/>
    <w:rsid w:val="007B58DA"/>
    <w:rsid w:val="007C12EB"/>
    <w:rsid w:val="007D05DC"/>
    <w:rsid w:val="007D145A"/>
    <w:rsid w:val="008169A7"/>
    <w:rsid w:val="008301C9"/>
    <w:rsid w:val="00831F7B"/>
    <w:rsid w:val="008322D4"/>
    <w:rsid w:val="00833765"/>
    <w:rsid w:val="0085327D"/>
    <w:rsid w:val="008621F2"/>
    <w:rsid w:val="00867B03"/>
    <w:rsid w:val="00871235"/>
    <w:rsid w:val="00884FF5"/>
    <w:rsid w:val="008A2781"/>
    <w:rsid w:val="008B09E9"/>
    <w:rsid w:val="008C0535"/>
    <w:rsid w:val="008C4138"/>
    <w:rsid w:val="008D2420"/>
    <w:rsid w:val="008E4862"/>
    <w:rsid w:val="008E6C79"/>
    <w:rsid w:val="008F47BD"/>
    <w:rsid w:val="0091493A"/>
    <w:rsid w:val="00923D5C"/>
    <w:rsid w:val="009355D1"/>
    <w:rsid w:val="009535C3"/>
    <w:rsid w:val="00960A46"/>
    <w:rsid w:val="00964350"/>
    <w:rsid w:val="0097138B"/>
    <w:rsid w:val="00972845"/>
    <w:rsid w:val="00973BEB"/>
    <w:rsid w:val="00975D2C"/>
    <w:rsid w:val="00981466"/>
    <w:rsid w:val="00984C72"/>
    <w:rsid w:val="009874EB"/>
    <w:rsid w:val="009B3FF3"/>
    <w:rsid w:val="009E11A4"/>
    <w:rsid w:val="00A07773"/>
    <w:rsid w:val="00A12C58"/>
    <w:rsid w:val="00A25B34"/>
    <w:rsid w:val="00A265F9"/>
    <w:rsid w:val="00A34E9B"/>
    <w:rsid w:val="00A71595"/>
    <w:rsid w:val="00A875F3"/>
    <w:rsid w:val="00A94790"/>
    <w:rsid w:val="00AA117E"/>
    <w:rsid w:val="00AC6578"/>
    <w:rsid w:val="00AD100C"/>
    <w:rsid w:val="00AF06EA"/>
    <w:rsid w:val="00B13CCE"/>
    <w:rsid w:val="00B147B8"/>
    <w:rsid w:val="00B1537D"/>
    <w:rsid w:val="00B20E6B"/>
    <w:rsid w:val="00B2646E"/>
    <w:rsid w:val="00B3542B"/>
    <w:rsid w:val="00B40AA1"/>
    <w:rsid w:val="00B535B4"/>
    <w:rsid w:val="00B7089B"/>
    <w:rsid w:val="00BA7396"/>
    <w:rsid w:val="00BA7877"/>
    <w:rsid w:val="00BD4282"/>
    <w:rsid w:val="00BE11B9"/>
    <w:rsid w:val="00C03D31"/>
    <w:rsid w:val="00C111D8"/>
    <w:rsid w:val="00C179F9"/>
    <w:rsid w:val="00C450DD"/>
    <w:rsid w:val="00C5148C"/>
    <w:rsid w:val="00C549B4"/>
    <w:rsid w:val="00C72668"/>
    <w:rsid w:val="00C75DF0"/>
    <w:rsid w:val="00C770EA"/>
    <w:rsid w:val="00C773E3"/>
    <w:rsid w:val="00C87DA2"/>
    <w:rsid w:val="00CB71B8"/>
    <w:rsid w:val="00D06D2A"/>
    <w:rsid w:val="00D1141F"/>
    <w:rsid w:val="00D25692"/>
    <w:rsid w:val="00D2720B"/>
    <w:rsid w:val="00D27C82"/>
    <w:rsid w:val="00D36EDF"/>
    <w:rsid w:val="00D4308A"/>
    <w:rsid w:val="00D77412"/>
    <w:rsid w:val="00D77B64"/>
    <w:rsid w:val="00D87CB1"/>
    <w:rsid w:val="00DA0FAA"/>
    <w:rsid w:val="00DA645F"/>
    <w:rsid w:val="00DB1891"/>
    <w:rsid w:val="00DC5550"/>
    <w:rsid w:val="00DD1BA3"/>
    <w:rsid w:val="00DE3786"/>
    <w:rsid w:val="00E237AA"/>
    <w:rsid w:val="00E3478E"/>
    <w:rsid w:val="00E35D29"/>
    <w:rsid w:val="00E61671"/>
    <w:rsid w:val="00E721E9"/>
    <w:rsid w:val="00E80201"/>
    <w:rsid w:val="00EA3400"/>
    <w:rsid w:val="00EC58BD"/>
    <w:rsid w:val="00ED0AF4"/>
    <w:rsid w:val="00ED0F74"/>
    <w:rsid w:val="00ED4766"/>
    <w:rsid w:val="00EF1D5B"/>
    <w:rsid w:val="00F14603"/>
    <w:rsid w:val="00F20105"/>
    <w:rsid w:val="00F3459A"/>
    <w:rsid w:val="00F531DB"/>
    <w:rsid w:val="00F72683"/>
    <w:rsid w:val="00F7433F"/>
    <w:rsid w:val="00F76057"/>
    <w:rsid w:val="00F829CD"/>
    <w:rsid w:val="00FA6472"/>
    <w:rsid w:val="00FA76B0"/>
    <w:rsid w:val="00FB1B5F"/>
    <w:rsid w:val="00FB5EE2"/>
    <w:rsid w:val="00FB6BD5"/>
    <w:rsid w:val="00FB7CBA"/>
    <w:rsid w:val="00FC2A13"/>
    <w:rsid w:val="00FE033F"/>
    <w:rsid w:val="00FF0329"/>
    <w:rsid w:val="00FF149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352AF5-1DD7-4DD9-B23E-74B18E9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56F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756F1"/>
    <w:rPr>
      <w:rFonts w:ascii="Garamond" w:eastAsia="Times New Roman" w:hAnsi="Garamond"/>
      <w:bCs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56F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756F1"/>
    <w:rPr>
      <w:rFonts w:ascii="Garamond" w:eastAsia="Times New Roman" w:hAnsi="Garamond"/>
      <w:bCs/>
      <w:sz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7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721"/>
    <w:rPr>
      <w:rFonts w:ascii="Garamond" w:eastAsia="Times New Roman" w:hAnsi="Garamond"/>
      <w:bCs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50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Microsoft account</cp:lastModifiedBy>
  <cp:revision>21</cp:revision>
  <cp:lastPrinted>2023-03-30T07:25:00Z</cp:lastPrinted>
  <dcterms:created xsi:type="dcterms:W3CDTF">2023-02-16T09:24:00Z</dcterms:created>
  <dcterms:modified xsi:type="dcterms:W3CDTF">2023-03-30T07:28:00Z</dcterms:modified>
</cp:coreProperties>
</file>