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49B" w:rsidRPr="00483F6D" w:rsidRDefault="00231C8C" w:rsidP="00A07773">
      <w:pPr>
        <w:autoSpaceDE w:val="0"/>
        <w:autoSpaceDN w:val="0"/>
        <w:adjustRightInd w:val="0"/>
        <w:jc w:val="right"/>
        <w:rPr>
          <w:rFonts w:ascii="Arial" w:hAnsi="Arial" w:cs="Arial"/>
          <w:b/>
          <w:noProof/>
          <w:color w:val="17365D"/>
          <w:sz w:val="20"/>
          <w:szCs w:val="20"/>
          <w:lang w:val="sr-Latn-CS"/>
        </w:rPr>
      </w:pPr>
      <w:r w:rsidRPr="00483F6D">
        <w:rPr>
          <w:rFonts w:ascii="Arial" w:hAnsi="Arial" w:cs="Arial"/>
          <w:b/>
          <w:noProof/>
          <w:color w:val="17365D"/>
          <w:szCs w:val="24"/>
          <w:lang w:val="sr-Latn-CS"/>
        </w:rPr>
        <w:t>OBRAZAC</w:t>
      </w:r>
    </w:p>
    <w:p w:rsidR="0057749B" w:rsidRPr="00483F6D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noProof/>
          <w:color w:val="17365D"/>
          <w:sz w:val="20"/>
          <w:szCs w:val="20"/>
          <w:lang w:val="sr-Latn-CS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3978"/>
        <w:gridCol w:w="5598"/>
      </w:tblGrid>
      <w:tr w:rsidR="004C010A" w:rsidRPr="00483F6D" w:rsidTr="000F05ED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57749B" w:rsidRPr="00483F6D" w:rsidRDefault="00231C8C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8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IZVJEŠTAJ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ANALIZI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UTICAJA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2"/>
                <w:szCs w:val="24"/>
                <w:lang w:val="sr-Latn-CS"/>
              </w:rPr>
              <w:t>SAMOUPRAVE</w:t>
            </w:r>
          </w:p>
        </w:tc>
      </w:tr>
      <w:tr w:rsidR="004C010A" w:rsidRPr="00483F6D" w:rsidTr="000F05ED">
        <w:tc>
          <w:tcPr>
            <w:tcW w:w="3978" w:type="dxa"/>
            <w:shd w:val="clear" w:color="auto" w:fill="D2EAF1"/>
          </w:tcPr>
          <w:p w:rsidR="0057749B" w:rsidRPr="00483F6D" w:rsidRDefault="00231C8C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  <w:shd w:val="clear" w:color="auto" w:fill="D2EAF1"/>
          </w:tcPr>
          <w:p w:rsidR="0057749B" w:rsidRPr="00483F6D" w:rsidRDefault="00231C8C" w:rsidP="00FB5E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E15B02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staranje</w:t>
            </w:r>
          </w:p>
        </w:tc>
      </w:tr>
      <w:tr w:rsidR="004C010A" w:rsidRPr="00483F6D" w:rsidTr="000F05ED">
        <w:tc>
          <w:tcPr>
            <w:tcW w:w="3978" w:type="dxa"/>
          </w:tcPr>
          <w:p w:rsidR="0057749B" w:rsidRPr="00483F6D" w:rsidRDefault="00231C8C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NAZIV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</w:p>
        </w:tc>
        <w:tc>
          <w:tcPr>
            <w:tcW w:w="5598" w:type="dxa"/>
          </w:tcPr>
          <w:p w:rsidR="0057749B" w:rsidRPr="00483F6D" w:rsidRDefault="00231C8C" w:rsidP="00721E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Predlog</w:t>
            </w:r>
            <w:r w:rsidR="0057749B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57749B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FF4C57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studentskoj</w:t>
            </w:r>
            <w:r w:rsidR="00D741CF"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noProof/>
                <w:color w:val="17365D"/>
                <w:sz w:val="20"/>
                <w:szCs w:val="20"/>
                <w:lang w:val="sr-Latn-CS"/>
              </w:rPr>
              <w:t>stipendiji</w:t>
            </w: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1.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Definisanje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)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zakonski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strateškim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dokumentima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odstupati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odredbi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sopstvenim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prenesenom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povjerenom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riješi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  <w:bookmarkStart w:id="0" w:name="_GoBack"/>
            <w:bookmarkEnd w:id="0"/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način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-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</w:t>
            </w:r>
          </w:p>
          <w:p w:rsidR="0057749B" w:rsidRPr="00483F6D" w:rsidRDefault="00231C8C" w:rsidP="003B55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evoluirao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promjene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(“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</w:tc>
      </w:tr>
      <w:tr w:rsidR="004C010A" w:rsidRPr="00483F6D" w:rsidTr="00857C38">
        <w:tc>
          <w:tcPr>
            <w:tcW w:w="9576" w:type="dxa"/>
            <w:gridSpan w:val="2"/>
            <w:shd w:val="clear" w:color="auto" w:fill="auto"/>
          </w:tcPr>
          <w:p w:rsidR="0057749B" w:rsidRPr="00483F6D" w:rsidRDefault="00231C8C" w:rsidP="00E807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zahtjeva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)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državnom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nivou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857C38" w:rsidRPr="00483F6D" w:rsidRDefault="00231C8C" w:rsidP="00857C3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sadržan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članu</w:t>
            </w:r>
            <w:r w:rsidR="00C5246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38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stav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tačka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vezi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članom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27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stav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tačka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15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Zakona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lokalnoj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(„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Službeni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list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",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2/18, 34/19, 38/20, 50/22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84/22),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članu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35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stav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tačka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članu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38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stav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Statuta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(„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Službeni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list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–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Opštinski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“,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31/18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57C3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21/23).</w:t>
            </w:r>
          </w:p>
          <w:p w:rsidR="0057749B" w:rsidRPr="00483F6D" w:rsidRDefault="00231C8C" w:rsidP="00FF782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Riječ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sopstvenim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nadležnostima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6281D" w:rsidRPr="00483F6D" w:rsidRDefault="00231C8C" w:rsidP="002F160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295DC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unaprijedi</w:t>
            </w:r>
            <w:r w:rsidR="00295DC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95DC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pospješi</w:t>
            </w:r>
            <w:r w:rsidR="00295DC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materijalni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dodatno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stimuliše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učenike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studente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postizanje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još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boljih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rezultata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daljem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obrazovanju</w:t>
            </w:r>
            <w:r w:rsidR="0056281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Zato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ovim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predlogom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predviđa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mjesečnog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iznosa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stipendije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dosadašnji</w:t>
            </w:r>
            <w:r w:rsidR="0011782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h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150</w:t>
            </w:r>
            <w:r w:rsidR="0011782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,00</w:t>
            </w:r>
            <w:r w:rsidR="000C1A4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200,00 €.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Takođe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predviđeno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5757B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snovni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uslov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ostvarivanje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stipendiju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neće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E261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određeno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postojećom</w:t>
            </w:r>
            <w:r w:rsidR="000529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odlukom</w:t>
            </w:r>
            <w:r w:rsidR="005E261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korisnik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dobitnik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diplome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„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Luča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“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odličan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uspjeh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svih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nastavnih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predmeta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primjerno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vladanje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osnovnoj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srednjoj</w:t>
            </w:r>
            <w:r w:rsidR="002F160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školi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pravo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stipendiju</w:t>
            </w:r>
            <w:r w:rsidR="006067D1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moći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ostvare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telentovani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</w:t>
            </w:r>
            <w:r w:rsidR="004932E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prethodnoj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godini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studija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imali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najnižu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prosječnu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ocjenu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9,00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ostvarenih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ECTS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kredita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stoprocentnom</w:t>
            </w:r>
            <w:r w:rsidR="00C35DE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iznosu</w:t>
            </w:r>
            <w:r w:rsidR="0011782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4210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podjednaku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:rsidR="009F42F9" w:rsidRPr="00483F6D" w:rsidRDefault="00231C8C" w:rsidP="009F42F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Osnovni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uzrok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0F3F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veoma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loš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materijalni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podstiče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više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odla</w:t>
            </w:r>
            <w:r w:rsidR="0090065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ska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školovanih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građana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3F7DA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našeg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grada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nego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3F7DA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CE0F8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9F42F9" w:rsidRPr="00483F6D">
              <w:rPr>
                <w:noProof/>
                <w:color w:val="17365D"/>
                <w:lang w:val="sr-Latn-CS"/>
              </w:rPr>
              <w:t xml:space="preserve"> </w:t>
            </w:r>
          </w:p>
          <w:p w:rsidR="009F42F9" w:rsidRPr="00483F6D" w:rsidRDefault="00231C8C" w:rsidP="00EF353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lošeg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ekonomskog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stanja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očekivati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dalji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odliv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mozgova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pogotovo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talentovaniji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odlaziti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sredine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pružiti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bolju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finansijsku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politiku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ostale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uslove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direktno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vezani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9F42F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9F42F9" w:rsidRPr="00483F6D" w:rsidRDefault="00231C8C" w:rsidP="000F3FED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Zbog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nastalog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oštećeni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njihove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porodice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društvo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cjelini</w:t>
            </w:r>
            <w:r w:rsidR="00EF59E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:rsidR="003B5577" w:rsidRPr="00483F6D" w:rsidRDefault="00231C8C" w:rsidP="009C7434">
            <w:pPr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slučaju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“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došlo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stagnacije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razvoja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obrazovanja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3B557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obezbjedili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preduslovi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ostanak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perspektivnih</w:t>
            </w:r>
            <w:r w:rsidR="00743EC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našem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gradu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došlo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talasa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odla</w:t>
            </w:r>
            <w:r w:rsidR="0090065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</w:t>
            </w:r>
            <w:r w:rsidR="00F30BF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kvalitetnog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kadra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ostanka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onih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apatičnih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pasivnih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nemaju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želju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doprinose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pozitivnim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promjenama</w:t>
            </w:r>
            <w:r w:rsidR="009C7434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9C7434" w:rsidRPr="00483F6D" w:rsidRDefault="009C7434" w:rsidP="00E90CE9">
            <w:pPr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2.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AE5F4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odgovor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definisati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</w:tc>
      </w:tr>
      <w:tr w:rsidR="004C010A" w:rsidRPr="00483F6D" w:rsidTr="000F05ED">
        <w:tc>
          <w:tcPr>
            <w:tcW w:w="9576" w:type="dxa"/>
            <w:gridSpan w:val="2"/>
          </w:tcPr>
          <w:p w:rsidR="004C7BE8" w:rsidRPr="00483F6D" w:rsidRDefault="00231C8C" w:rsidP="00C74B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Osnovni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postiže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6B5E2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povećanjem</w:t>
            </w:r>
            <w:r w:rsidR="0053234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visine</w:t>
            </w:r>
            <w:r w:rsidR="0053234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mjesečnog</w:t>
            </w:r>
            <w:r w:rsidR="0053234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iznosa</w:t>
            </w:r>
            <w:r w:rsidR="0053234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stipendije</w:t>
            </w:r>
            <w:r w:rsidR="0053234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unaprijedi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pospješi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materijalni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0B7639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studiranje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postalo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privilegija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bogatih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8230B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FA0F8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FA0F8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dodatno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stimulišu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učenici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postizanje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još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boljih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rezultata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daljem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obrazovanju</w:t>
            </w:r>
            <w:r w:rsidR="004C7BE8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C74B4F" w:rsidRPr="00483F6D">
              <w:rPr>
                <w:noProof/>
                <w:color w:val="17365D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Povećanje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najboljim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studentima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još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jedan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dokaz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poruka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uprava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cijeni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prave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vrijednosti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ubuduće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znati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prepozna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nagradi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kontinuirani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rad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trud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upornost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755B6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„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leži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“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jednakosti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0F05E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3.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Zašto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neophodan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-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rješavanje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problema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uvijek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treba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razmatrati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“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preporučljivo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neregulatornu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obaveza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dimenzija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;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preferirana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unapređuje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rodnu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ravnopravnost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među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:rsidR="009978F0" w:rsidRPr="00483F6D" w:rsidRDefault="009978F0" w:rsidP="009978F0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</w:tcPr>
          <w:p w:rsidR="007C6DA2" w:rsidRPr="00483F6D" w:rsidRDefault="00231C8C" w:rsidP="00C74B4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što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navedeno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predloženim</w:t>
            </w:r>
            <w:r w:rsidR="00136DB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obezbjeđuju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preduslovi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136DB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ekonomskog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položaja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obezbjeđivanje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preduslova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ostanak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talentovanih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našem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gradu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državi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C74B4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  <w:p w:rsidR="0057749B" w:rsidRPr="00483F6D" w:rsidRDefault="00231C8C" w:rsidP="0070336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ispunjavanje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postavljenih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moguća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“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status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q</w:t>
            </w:r>
            <w:r w:rsidR="00836AA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”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4C7BE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stavljeni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ravnopravan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Tačnije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obezbjeđuje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svim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studentima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našoj</w:t>
            </w:r>
            <w:r w:rsidR="007C6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opštini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skladu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odredbama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765B1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muškim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ženskim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studentima</w:t>
            </w:r>
            <w:r w:rsidR="00755B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9A166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4.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Analiza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koga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najvjerovatnije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-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nabrojati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imaju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direktne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indirektne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uštede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izazvati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građanima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naročito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malim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srednjim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preduzećima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posljedice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opravdavaju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stvoriti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administrativnih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opterećenja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biznis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barijera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57749B" w:rsidP="000F05ED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</w:tcPr>
          <w:p w:rsidR="002D3C4D" w:rsidRPr="00483F6D" w:rsidRDefault="00231C8C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pozitivno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uticati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sve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studente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bez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obzira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mjesto</w:t>
            </w:r>
            <w:r w:rsidR="003E104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studiranja</w:t>
            </w:r>
            <w:r w:rsidR="006456F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</w:p>
          <w:p w:rsidR="006456F5" w:rsidRPr="00483F6D" w:rsidRDefault="00231C8C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Pozitivni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uticaji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implementacije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finansijskog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položaja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smanjenje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odlaska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kvalitetnog</w:t>
            </w:r>
            <w:r w:rsidR="00B477C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kadra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briga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mladim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talentovanim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sugrađanima</w:t>
            </w:r>
            <w:r w:rsidR="0058724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dodatna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stimulacija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svih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učenika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postizanje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još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boljih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daljem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obrazovanju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2D3C4D" w:rsidRPr="00483F6D" w:rsidRDefault="00231C8C" w:rsidP="00836A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Predloženi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negativne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uticaje</w:t>
            </w:r>
            <w:r w:rsidR="002D3C4D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Rješenja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nemaju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poseban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:rsidR="0057749B" w:rsidRPr="00483F6D" w:rsidRDefault="00231C8C" w:rsidP="00C6172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sredstva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primjenu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0D0CE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budžetom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202</w:t>
            </w:r>
            <w:r w:rsidR="000D0CE7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5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C61723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5604C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>Pozitivne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posledice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opravdavaju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stvoriti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:rsidR="0057749B" w:rsidRPr="00483F6D" w:rsidRDefault="00231C8C" w:rsidP="008122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podržava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stvaranje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novih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privrednih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subjekata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tržišna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konkurencija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0D0CE7" w:rsidRPr="00483F6D" w:rsidRDefault="000D0CE7" w:rsidP="000D0CE7">
            <w:pPr>
              <w:pStyle w:val="ListParagraph"/>
              <w:autoSpaceDE w:val="0"/>
              <w:autoSpaceDN w:val="0"/>
              <w:adjustRightInd w:val="0"/>
              <w:spacing w:before="120"/>
              <w:ind w:left="629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:rsidR="0057749B" w:rsidRPr="00483F6D" w:rsidRDefault="0057749B" w:rsidP="00DB7DAA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5.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Procjena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fiskalnog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uticaja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jednokratno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tokom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određenog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vremenskog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perioda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obezbijeđena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tekuću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planirana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fiskalnu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korisnik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procentu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mogli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uzrok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neravnopravnosti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muškaraca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?)</w:t>
            </w:r>
          </w:p>
          <w:p w:rsidR="0057749B" w:rsidRPr="00483F6D" w:rsidRDefault="0057749B" w:rsidP="00DB7DAA">
            <w:pPr>
              <w:pStyle w:val="ListParagraph"/>
              <w:ind w:left="63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</w:tcPr>
          <w:p w:rsidR="0057749B" w:rsidRPr="00483F6D" w:rsidRDefault="00231C8C" w:rsidP="00DB7DA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utiče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visinu</w:t>
            </w:r>
            <w:r w:rsidR="00D208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troškova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</w:p>
          <w:p w:rsidR="0057749B" w:rsidRPr="00483F6D" w:rsidRDefault="00231C8C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obezbjeđivanje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F572E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Obezbjeđenje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sredstava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isplatu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studentskih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stipendija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10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mjeseci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studijske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godine</w:t>
            </w:r>
            <w:r w:rsidR="005C1B6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,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nominalnom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mjesečnom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iznosu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visini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F572E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200,00 €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BF43F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Neophodna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sredstva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narednu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godinu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obezbijeđena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08148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pštine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Nikšić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Implementacijom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ostvariti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prihod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samoupravu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Crne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Gore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korisnici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muškarci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6F290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budžeta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može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uzrok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neravnopravnosti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između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muškaraca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  <w:shd w:val="clear" w:color="auto" w:fill="D2EAF1"/>
          </w:tcPr>
          <w:p w:rsidR="0057749B" w:rsidRPr="00483F6D" w:rsidRDefault="0057749B" w:rsidP="00C06EC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6.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korišćena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eksterna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ekspertska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konsultovane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kojoj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fazi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RIA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procesa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(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ciljane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).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udruženja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ranjivih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Naznačiti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rezultate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predlozi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sugestije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odnosno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prihvaćeni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.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Obrazložiti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2E2AA7" w:rsidRPr="00483F6D" w:rsidRDefault="002E2AA7" w:rsidP="002E2AA7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0F05ED">
        <w:tc>
          <w:tcPr>
            <w:tcW w:w="9576" w:type="dxa"/>
            <w:gridSpan w:val="2"/>
          </w:tcPr>
          <w:p w:rsidR="0057749B" w:rsidRPr="00483F6D" w:rsidRDefault="0057749B" w:rsidP="001E3E69">
            <w:pPr>
              <w:autoSpaceDE w:val="0"/>
              <w:autoSpaceDN w:val="0"/>
              <w:adjustRightInd w:val="0"/>
              <w:ind w:firstLine="426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:rsidR="0057749B" w:rsidRPr="00483F6D" w:rsidRDefault="00231C8C" w:rsidP="0061576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pripremu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korišćena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eksterna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ekspertska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podrška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jer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bila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potrebna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854AF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izvršene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studentima</w:t>
            </w:r>
            <w:r w:rsidR="000B04E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iz</w:t>
            </w:r>
            <w:r w:rsidR="000B04E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</w:t>
            </w:r>
            <w:r w:rsidR="00200DA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opštine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kroz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predlog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ovog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uvažene</w:t>
            </w:r>
            <w:r w:rsidR="00B064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B064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konsruktivne</w:t>
            </w:r>
            <w:r w:rsidR="00B0646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sugestije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kada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pitanju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poboljšanje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materijalnog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položaja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</w:t>
            </w:r>
            <w:r w:rsidR="004C010A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a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ta</w:t>
            </w:r>
            <w:r w:rsidR="0056343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2449F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Predstavnici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ženskih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udruženja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ranjivih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grupa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uključeni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konsultacije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vezi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donošenjem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ovog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1137E" w:rsidRPr="00483F6D" w:rsidRDefault="00231C8C" w:rsidP="00F95F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postupku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pripreme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predloženog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sproveden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je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postupak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javne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rasprave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  <w:r w:rsidR="0072708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Predloga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sugestija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nacrt</w:t>
            </w:r>
            <w:r w:rsidR="00B54FFF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strane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zainteresovane</w:t>
            </w:r>
            <w:r w:rsidR="00F95F7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javnosti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nije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bilo</w:t>
            </w:r>
            <w:r w:rsidR="0051137E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AA5809">
        <w:tc>
          <w:tcPr>
            <w:tcW w:w="9576" w:type="dxa"/>
            <w:gridSpan w:val="2"/>
            <w:shd w:val="clear" w:color="auto" w:fill="DAEEF3"/>
          </w:tcPr>
          <w:p w:rsidR="0057749B" w:rsidRPr="00483F6D" w:rsidRDefault="0057749B" w:rsidP="00304A2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lastRenderedPageBreak/>
              <w:t xml:space="preserve">7.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231C8C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evaluacija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potencijalne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? 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57749B" w:rsidRPr="00483F6D" w:rsidRDefault="00231C8C" w:rsidP="000F05E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?</w:t>
            </w:r>
          </w:p>
          <w:p w:rsidR="002E2AA7" w:rsidRPr="00483F6D" w:rsidRDefault="002E2AA7" w:rsidP="002E2AA7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  <w:tr w:rsidR="004C010A" w:rsidRPr="00483F6D" w:rsidTr="00136DB2">
        <w:tc>
          <w:tcPr>
            <w:tcW w:w="9576" w:type="dxa"/>
            <w:gridSpan w:val="2"/>
            <w:shd w:val="clear" w:color="auto" w:fill="auto"/>
          </w:tcPr>
          <w:p w:rsidR="0057749B" w:rsidRPr="00483F6D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  <w:p w:rsidR="0057749B" w:rsidRPr="00483F6D" w:rsidRDefault="00231C8C" w:rsidP="00D775A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implementaciju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postoje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prepreke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7F11B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Glavni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indikatori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mjerenje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ispunjenosti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ciljeva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su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: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veći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ekonomski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standard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manji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broj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900656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odlas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one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sredine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koje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im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pružiti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bolju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finansijsku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politiku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ostanak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mladih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perspektivnih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studenata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našem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gradu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državi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koji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će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doprinositi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pozitivnim</w:t>
            </w:r>
            <w:r w:rsidR="002C3755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promjenama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231C8C" w:rsidP="00D775A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629" w:hanging="357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sprovođenje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monitoringa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evaluacije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primjene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ove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odluke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biće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zadužen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obrađivač</w:t>
            </w:r>
            <w:r w:rsidR="009978F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propisa</w:t>
            </w:r>
            <w:r w:rsidR="009978F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="00CF25E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-</w:t>
            </w:r>
            <w:r w:rsidR="009978F0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Sekretarijat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kulturu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sport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mlade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i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socijalno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staranje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,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kao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organ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lokalne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uprave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nadležan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za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poslove</w:t>
            </w:r>
            <w:r w:rsidR="007A5BD2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 xml:space="preserve"> </w:t>
            </w:r>
            <w:r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obrazovanja</w:t>
            </w:r>
            <w:r w:rsidR="0057749B" w:rsidRPr="00483F6D"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  <w:t>.</w:t>
            </w:r>
          </w:p>
          <w:p w:rsidR="0057749B" w:rsidRPr="00483F6D" w:rsidRDefault="0057749B" w:rsidP="000F05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noProof/>
                <w:color w:val="17365D"/>
                <w:sz w:val="20"/>
                <w:szCs w:val="20"/>
                <w:lang w:val="sr-Latn-CS"/>
              </w:rPr>
            </w:pPr>
          </w:p>
        </w:tc>
      </w:tr>
    </w:tbl>
    <w:p w:rsidR="0057749B" w:rsidRPr="00483F6D" w:rsidRDefault="0057749B" w:rsidP="00BA7396">
      <w:pPr>
        <w:autoSpaceDE w:val="0"/>
        <w:autoSpaceDN w:val="0"/>
        <w:adjustRightInd w:val="0"/>
        <w:rPr>
          <w:rFonts w:ascii="Arial" w:hAnsi="Arial" w:cs="Arial"/>
          <w:b/>
          <w:bCs w:val="0"/>
          <w:noProof/>
          <w:color w:val="17365D"/>
          <w:sz w:val="20"/>
          <w:szCs w:val="20"/>
          <w:lang w:val="sr-Latn-CS"/>
        </w:rPr>
      </w:pPr>
    </w:p>
    <w:p w:rsidR="00727085" w:rsidRPr="00483F6D" w:rsidRDefault="00727085">
      <w:pPr>
        <w:rPr>
          <w:rFonts w:ascii="Arial" w:hAnsi="Arial" w:cs="Arial"/>
          <w:b/>
          <w:noProof/>
          <w:color w:val="17365D"/>
          <w:lang w:val="sr-Latn-CS"/>
        </w:rPr>
      </w:pPr>
    </w:p>
    <w:p w:rsidR="0057749B" w:rsidRPr="00483F6D" w:rsidRDefault="00490EEA">
      <w:pPr>
        <w:rPr>
          <w:rFonts w:ascii="Arial" w:hAnsi="Arial" w:cs="Arial"/>
          <w:b/>
          <w:noProof/>
          <w:color w:val="17365D"/>
          <w:lang w:val="sr-Latn-CS"/>
        </w:rPr>
      </w:pPr>
      <w:r w:rsidRPr="00483F6D">
        <w:rPr>
          <w:rFonts w:ascii="Arial" w:hAnsi="Arial" w:cs="Arial"/>
          <w:b/>
          <w:noProof/>
          <w:color w:val="17365D"/>
          <w:lang w:val="sr-Latn-CS"/>
        </w:rPr>
        <w:t xml:space="preserve">   </w:t>
      </w:r>
      <w:r w:rsidR="00231C8C" w:rsidRPr="00483F6D">
        <w:rPr>
          <w:rFonts w:ascii="Arial" w:hAnsi="Arial" w:cs="Arial"/>
          <w:b/>
          <w:noProof/>
          <w:color w:val="17365D"/>
          <w:lang w:val="sr-Latn-CS"/>
        </w:rPr>
        <w:t>Datum</w:t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="00231C8C" w:rsidRPr="00483F6D">
        <w:rPr>
          <w:rFonts w:ascii="Arial" w:hAnsi="Arial" w:cs="Arial"/>
          <w:b/>
          <w:noProof/>
          <w:color w:val="17365D"/>
          <w:lang w:val="sr-Latn-CS"/>
        </w:rPr>
        <w:t>i</w:t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 xml:space="preserve"> </w:t>
      </w:r>
      <w:r w:rsidR="00231C8C" w:rsidRPr="00483F6D">
        <w:rPr>
          <w:rFonts w:ascii="Arial" w:hAnsi="Arial" w:cs="Arial"/>
          <w:b/>
          <w:noProof/>
          <w:color w:val="17365D"/>
          <w:lang w:val="sr-Latn-CS"/>
        </w:rPr>
        <w:t>mjesto</w:t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b/>
          <w:noProof/>
          <w:color w:val="17365D"/>
          <w:lang w:val="sr-Latn-CS"/>
        </w:rPr>
        <w:tab/>
        <w:t xml:space="preserve">                      </w:t>
      </w:r>
      <w:r w:rsidR="00393F62" w:rsidRPr="00483F6D">
        <w:rPr>
          <w:rFonts w:ascii="Arial" w:hAnsi="Arial" w:cs="Arial"/>
          <w:b/>
          <w:noProof/>
          <w:color w:val="17365D"/>
          <w:lang w:val="sr-Latn-CS"/>
        </w:rPr>
        <w:t xml:space="preserve">        </w:t>
      </w:r>
      <w:r w:rsidR="00376933" w:rsidRPr="00483F6D">
        <w:rPr>
          <w:rFonts w:ascii="Arial" w:hAnsi="Arial" w:cs="Arial"/>
          <w:b/>
          <w:noProof/>
          <w:color w:val="17365D"/>
          <w:lang w:val="sr-Latn-CS"/>
        </w:rPr>
        <w:t xml:space="preserve">   </w:t>
      </w:r>
      <w:r w:rsidR="00231C8C" w:rsidRPr="00483F6D">
        <w:rPr>
          <w:rFonts w:ascii="Arial" w:hAnsi="Arial" w:cs="Arial"/>
          <w:b/>
          <w:noProof/>
          <w:color w:val="17365D"/>
          <w:lang w:val="sr-Latn-CS"/>
        </w:rPr>
        <w:t>SEKRETAR</w:t>
      </w:r>
    </w:p>
    <w:p w:rsidR="0057749B" w:rsidRPr="00483F6D" w:rsidRDefault="0057749B">
      <w:pPr>
        <w:rPr>
          <w:rFonts w:ascii="Arial" w:hAnsi="Arial" w:cs="Arial"/>
          <w:noProof/>
          <w:color w:val="17365D"/>
          <w:sz w:val="12"/>
          <w:szCs w:val="12"/>
          <w:lang w:val="sr-Latn-CS"/>
        </w:rPr>
      </w:pPr>
    </w:p>
    <w:p w:rsidR="0057749B" w:rsidRPr="00483F6D" w:rsidRDefault="00231C8C">
      <w:pPr>
        <w:rPr>
          <w:rFonts w:ascii="Arial" w:hAnsi="Arial" w:cs="Arial"/>
          <w:noProof/>
          <w:color w:val="17365D"/>
          <w:lang w:val="sr-Latn-CS"/>
        </w:rPr>
      </w:pPr>
      <w:r w:rsidRPr="00483F6D">
        <w:rPr>
          <w:rFonts w:ascii="Arial" w:hAnsi="Arial" w:cs="Arial"/>
          <w:noProof/>
          <w:color w:val="17365D"/>
          <w:lang w:val="sr-Latn-CS"/>
        </w:rPr>
        <w:t>Nikšić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 xml:space="preserve">, </w:t>
      </w:r>
      <w:r w:rsidR="009978F0" w:rsidRPr="00483F6D">
        <w:rPr>
          <w:rFonts w:ascii="Arial" w:hAnsi="Arial" w:cs="Arial"/>
          <w:noProof/>
          <w:color w:val="17365D"/>
          <w:lang w:val="sr-Latn-CS"/>
        </w:rPr>
        <w:t>2</w:t>
      </w:r>
      <w:r w:rsidR="00D0527B" w:rsidRPr="00483F6D">
        <w:rPr>
          <w:rFonts w:ascii="Arial" w:hAnsi="Arial" w:cs="Arial"/>
          <w:noProof/>
          <w:color w:val="17365D"/>
          <w:lang w:val="sr-Latn-CS"/>
        </w:rPr>
        <w:t>3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>.</w:t>
      </w:r>
      <w:r w:rsidR="009978F0" w:rsidRPr="00483F6D">
        <w:rPr>
          <w:rFonts w:ascii="Arial" w:hAnsi="Arial" w:cs="Arial"/>
          <w:noProof/>
          <w:color w:val="17365D"/>
          <w:lang w:val="sr-Latn-CS"/>
        </w:rPr>
        <w:t>09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>.202</w:t>
      </w:r>
      <w:r w:rsidR="009978F0" w:rsidRPr="00483F6D">
        <w:rPr>
          <w:rFonts w:ascii="Arial" w:hAnsi="Arial" w:cs="Arial"/>
          <w:noProof/>
          <w:color w:val="17365D"/>
          <w:lang w:val="sr-Latn-CS"/>
        </w:rPr>
        <w:t>4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>.</w:t>
      </w:r>
      <w:r w:rsidR="00490EEA" w:rsidRPr="00483F6D">
        <w:rPr>
          <w:rFonts w:ascii="Arial" w:hAnsi="Arial" w:cs="Arial"/>
          <w:noProof/>
          <w:color w:val="17365D"/>
          <w:lang w:val="sr-Latn-CS"/>
        </w:rPr>
        <w:t xml:space="preserve"> </w:t>
      </w:r>
      <w:r w:rsidRPr="00483F6D">
        <w:rPr>
          <w:rFonts w:ascii="Arial" w:hAnsi="Arial" w:cs="Arial"/>
          <w:noProof/>
          <w:color w:val="17365D"/>
          <w:lang w:val="sr-Latn-CS"/>
        </w:rPr>
        <w:t>godine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  <w:t xml:space="preserve">        </w:t>
      </w:r>
      <w:r w:rsidR="00727085" w:rsidRPr="00483F6D">
        <w:rPr>
          <w:rFonts w:ascii="Arial" w:hAnsi="Arial" w:cs="Arial"/>
          <w:noProof/>
          <w:color w:val="17365D"/>
          <w:lang w:val="sr-Latn-CS"/>
        </w:rPr>
        <w:t xml:space="preserve">    </w:t>
      </w:r>
      <w:r w:rsidR="00490EEA" w:rsidRPr="00483F6D">
        <w:rPr>
          <w:rFonts w:ascii="Arial" w:hAnsi="Arial" w:cs="Arial"/>
          <w:noProof/>
          <w:color w:val="17365D"/>
          <w:lang w:val="sr-Latn-CS"/>
        </w:rPr>
        <w:t xml:space="preserve">    </w:t>
      </w:r>
      <w:r w:rsidR="00393F62" w:rsidRPr="00483F6D">
        <w:rPr>
          <w:rFonts w:ascii="Arial" w:hAnsi="Arial" w:cs="Arial"/>
          <w:noProof/>
          <w:color w:val="17365D"/>
          <w:lang w:val="sr-Latn-CS"/>
        </w:rPr>
        <w:t xml:space="preserve">  </w:t>
      </w:r>
      <w:r w:rsidR="00024B31" w:rsidRPr="00483F6D">
        <w:rPr>
          <w:rFonts w:ascii="Arial" w:hAnsi="Arial" w:cs="Arial"/>
          <w:noProof/>
          <w:color w:val="17365D"/>
          <w:lang w:val="sr-Latn-CS"/>
        </w:rPr>
        <w:t xml:space="preserve"> </w:t>
      </w:r>
      <w:r w:rsidR="002E2AA7" w:rsidRPr="00483F6D">
        <w:rPr>
          <w:rFonts w:ascii="Arial" w:hAnsi="Arial" w:cs="Arial"/>
          <w:noProof/>
          <w:color w:val="17365D"/>
          <w:lang w:val="sr-Latn-CS"/>
        </w:rPr>
        <w:tab/>
      </w:r>
      <w:r w:rsidR="002E2AA7" w:rsidRPr="00483F6D">
        <w:rPr>
          <w:rFonts w:ascii="Arial" w:hAnsi="Arial" w:cs="Arial"/>
          <w:noProof/>
          <w:color w:val="17365D"/>
          <w:lang w:val="sr-Latn-CS"/>
        </w:rPr>
        <w:tab/>
      </w:r>
      <w:r w:rsidRPr="00483F6D">
        <w:rPr>
          <w:rFonts w:ascii="Arial" w:hAnsi="Arial" w:cs="Arial"/>
          <w:noProof/>
          <w:color w:val="17365D"/>
          <w:lang w:val="sr-Latn-CS"/>
        </w:rPr>
        <w:t>Dejan</w:t>
      </w:r>
      <w:r w:rsidR="00727085" w:rsidRPr="00483F6D">
        <w:rPr>
          <w:rFonts w:ascii="Arial" w:hAnsi="Arial" w:cs="Arial"/>
          <w:noProof/>
          <w:color w:val="17365D"/>
          <w:lang w:val="sr-Latn-CS"/>
        </w:rPr>
        <w:t xml:space="preserve"> </w:t>
      </w:r>
      <w:r w:rsidRPr="00483F6D">
        <w:rPr>
          <w:rFonts w:ascii="Arial" w:hAnsi="Arial" w:cs="Arial"/>
          <w:noProof/>
          <w:color w:val="17365D"/>
          <w:lang w:val="sr-Latn-CS"/>
        </w:rPr>
        <w:t>Ivanović</w:t>
      </w:r>
      <w:r w:rsidR="004C010A" w:rsidRPr="00483F6D">
        <w:rPr>
          <w:rFonts w:ascii="Arial" w:hAnsi="Arial" w:cs="Arial"/>
          <w:noProof/>
          <w:color w:val="17365D"/>
          <w:lang w:val="sr-Latn-CS"/>
        </w:rPr>
        <w:t>, s.r.</w:t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  <w:r w:rsidR="0057749B" w:rsidRPr="00483F6D">
        <w:rPr>
          <w:rFonts w:ascii="Arial" w:hAnsi="Arial" w:cs="Arial"/>
          <w:noProof/>
          <w:color w:val="17365D"/>
          <w:lang w:val="sr-Latn-CS"/>
        </w:rPr>
        <w:tab/>
      </w:r>
    </w:p>
    <w:p w:rsidR="0057749B" w:rsidRPr="00231C8C" w:rsidRDefault="0057749B">
      <w:pPr>
        <w:rPr>
          <w:rFonts w:ascii="Arial" w:hAnsi="Arial" w:cs="Arial"/>
          <w:noProof/>
          <w:lang w:val="sr-Latn-CS"/>
        </w:rPr>
      </w:pPr>
    </w:p>
    <w:sectPr w:rsidR="0057749B" w:rsidRPr="00231C8C" w:rsidSect="00727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F6D" w:rsidRDefault="00483F6D" w:rsidP="00BA7396">
      <w:r>
        <w:separator/>
      </w:r>
    </w:p>
  </w:endnote>
  <w:endnote w:type="continuationSeparator" w:id="0">
    <w:p w:rsidR="00483F6D" w:rsidRDefault="00483F6D" w:rsidP="00B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F6D" w:rsidRDefault="00483F6D" w:rsidP="00BA7396">
      <w:r>
        <w:separator/>
      </w:r>
    </w:p>
  </w:footnote>
  <w:footnote w:type="continuationSeparator" w:id="0">
    <w:p w:rsidR="00483F6D" w:rsidRDefault="00483F6D" w:rsidP="00BA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6" w:rsidRDefault="0083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A6223"/>
    <w:multiLevelType w:val="multilevel"/>
    <w:tmpl w:val="4B16083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F77"/>
    <w:multiLevelType w:val="multilevel"/>
    <w:tmpl w:val="4B1608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3A02868"/>
    <w:multiLevelType w:val="multilevel"/>
    <w:tmpl w:val="CC2E7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F5D2C"/>
    <w:multiLevelType w:val="multilevel"/>
    <w:tmpl w:val="68E220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2E3D0805"/>
    <w:multiLevelType w:val="multilevel"/>
    <w:tmpl w:val="A050B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A173F"/>
    <w:multiLevelType w:val="multilevel"/>
    <w:tmpl w:val="4B1608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09B"/>
    <w:multiLevelType w:val="multilevel"/>
    <w:tmpl w:val="03C4C12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5"/>
  </w:num>
  <w:num w:numId="14">
    <w:abstractNumId w:val="1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"/>
  </w:num>
  <w:num w:numId="20">
    <w:abstractNumId w:val="17"/>
  </w:num>
  <w:num w:numId="21">
    <w:abstractNumId w:val="12"/>
  </w:num>
  <w:num w:numId="22">
    <w:abstractNumId w:val="1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426F"/>
    <w:rsid w:val="000114B5"/>
    <w:rsid w:val="00012321"/>
    <w:rsid w:val="00016C49"/>
    <w:rsid w:val="00024B31"/>
    <w:rsid w:val="00032902"/>
    <w:rsid w:val="00033473"/>
    <w:rsid w:val="00043CCD"/>
    <w:rsid w:val="000511F0"/>
    <w:rsid w:val="00052977"/>
    <w:rsid w:val="000562D6"/>
    <w:rsid w:val="000629D8"/>
    <w:rsid w:val="00067FCF"/>
    <w:rsid w:val="000716AC"/>
    <w:rsid w:val="00075306"/>
    <w:rsid w:val="00081480"/>
    <w:rsid w:val="00097277"/>
    <w:rsid w:val="000A496F"/>
    <w:rsid w:val="000A7C68"/>
    <w:rsid w:val="000B04E5"/>
    <w:rsid w:val="000B7639"/>
    <w:rsid w:val="000C1A4E"/>
    <w:rsid w:val="000D0CE7"/>
    <w:rsid w:val="000D61C3"/>
    <w:rsid w:val="000D7E32"/>
    <w:rsid w:val="000E5392"/>
    <w:rsid w:val="000E6B69"/>
    <w:rsid w:val="000E7E95"/>
    <w:rsid w:val="000E7FBD"/>
    <w:rsid w:val="000F05ED"/>
    <w:rsid w:val="000F273A"/>
    <w:rsid w:val="000F3FED"/>
    <w:rsid w:val="000F42E1"/>
    <w:rsid w:val="00110589"/>
    <w:rsid w:val="0011782B"/>
    <w:rsid w:val="0012018C"/>
    <w:rsid w:val="0012033E"/>
    <w:rsid w:val="00121DC3"/>
    <w:rsid w:val="001225FB"/>
    <w:rsid w:val="001278ED"/>
    <w:rsid w:val="00136DB2"/>
    <w:rsid w:val="00136E1D"/>
    <w:rsid w:val="00154647"/>
    <w:rsid w:val="00162BB1"/>
    <w:rsid w:val="00181DA7"/>
    <w:rsid w:val="00193ADE"/>
    <w:rsid w:val="00195D3D"/>
    <w:rsid w:val="001A56D1"/>
    <w:rsid w:val="001A5B9E"/>
    <w:rsid w:val="001B668E"/>
    <w:rsid w:val="001C7348"/>
    <w:rsid w:val="001D0BF0"/>
    <w:rsid w:val="001D3648"/>
    <w:rsid w:val="001E1794"/>
    <w:rsid w:val="001E3E69"/>
    <w:rsid w:val="001F4328"/>
    <w:rsid w:val="001F6009"/>
    <w:rsid w:val="001F7A0F"/>
    <w:rsid w:val="00200DA2"/>
    <w:rsid w:val="002072BA"/>
    <w:rsid w:val="002251D6"/>
    <w:rsid w:val="00231C8C"/>
    <w:rsid w:val="00235BF5"/>
    <w:rsid w:val="00237367"/>
    <w:rsid w:val="002378F3"/>
    <w:rsid w:val="00241859"/>
    <w:rsid w:val="002449FB"/>
    <w:rsid w:val="00244B91"/>
    <w:rsid w:val="002501AB"/>
    <w:rsid w:val="00267C7D"/>
    <w:rsid w:val="002703B6"/>
    <w:rsid w:val="002711EF"/>
    <w:rsid w:val="00271A2C"/>
    <w:rsid w:val="00282840"/>
    <w:rsid w:val="00284A91"/>
    <w:rsid w:val="00294662"/>
    <w:rsid w:val="00295023"/>
    <w:rsid w:val="00295DCE"/>
    <w:rsid w:val="002A6869"/>
    <w:rsid w:val="002C3755"/>
    <w:rsid w:val="002D3C4D"/>
    <w:rsid w:val="002D7074"/>
    <w:rsid w:val="002D7643"/>
    <w:rsid w:val="002E2AA7"/>
    <w:rsid w:val="002E7569"/>
    <w:rsid w:val="002F160C"/>
    <w:rsid w:val="00304A2A"/>
    <w:rsid w:val="00310915"/>
    <w:rsid w:val="00322389"/>
    <w:rsid w:val="00322F4B"/>
    <w:rsid w:val="00357476"/>
    <w:rsid w:val="00357C20"/>
    <w:rsid w:val="00376933"/>
    <w:rsid w:val="00377D8F"/>
    <w:rsid w:val="003819FF"/>
    <w:rsid w:val="003855E9"/>
    <w:rsid w:val="00386D1D"/>
    <w:rsid w:val="0038786C"/>
    <w:rsid w:val="003921E0"/>
    <w:rsid w:val="00392F99"/>
    <w:rsid w:val="00393F62"/>
    <w:rsid w:val="00394807"/>
    <w:rsid w:val="00395587"/>
    <w:rsid w:val="00397C9D"/>
    <w:rsid w:val="003A1706"/>
    <w:rsid w:val="003B5577"/>
    <w:rsid w:val="003D1615"/>
    <w:rsid w:val="003E104A"/>
    <w:rsid w:val="003E2C66"/>
    <w:rsid w:val="003E5BF1"/>
    <w:rsid w:val="003F334E"/>
    <w:rsid w:val="003F733B"/>
    <w:rsid w:val="003F7DA8"/>
    <w:rsid w:val="004210ED"/>
    <w:rsid w:val="004365AF"/>
    <w:rsid w:val="00462498"/>
    <w:rsid w:val="0047459A"/>
    <w:rsid w:val="00483F6D"/>
    <w:rsid w:val="00484ABC"/>
    <w:rsid w:val="00490EEA"/>
    <w:rsid w:val="004932EE"/>
    <w:rsid w:val="00494A64"/>
    <w:rsid w:val="004A4396"/>
    <w:rsid w:val="004B549B"/>
    <w:rsid w:val="004B5D4D"/>
    <w:rsid w:val="004B6374"/>
    <w:rsid w:val="004C010A"/>
    <w:rsid w:val="004C7BE8"/>
    <w:rsid w:val="004D3BA5"/>
    <w:rsid w:val="004E1351"/>
    <w:rsid w:val="004E62A1"/>
    <w:rsid w:val="004F1EE1"/>
    <w:rsid w:val="004F37B9"/>
    <w:rsid w:val="004F4F9C"/>
    <w:rsid w:val="00502D77"/>
    <w:rsid w:val="00503500"/>
    <w:rsid w:val="00504237"/>
    <w:rsid w:val="0051137E"/>
    <w:rsid w:val="005202F9"/>
    <w:rsid w:val="00532340"/>
    <w:rsid w:val="0054756C"/>
    <w:rsid w:val="005571C1"/>
    <w:rsid w:val="005604C1"/>
    <w:rsid w:val="0056281D"/>
    <w:rsid w:val="00563430"/>
    <w:rsid w:val="00565263"/>
    <w:rsid w:val="005757B1"/>
    <w:rsid w:val="0057749B"/>
    <w:rsid w:val="005805F3"/>
    <w:rsid w:val="00582938"/>
    <w:rsid w:val="00587242"/>
    <w:rsid w:val="005926E5"/>
    <w:rsid w:val="00597887"/>
    <w:rsid w:val="005B16B9"/>
    <w:rsid w:val="005B291D"/>
    <w:rsid w:val="005C1B6B"/>
    <w:rsid w:val="005C4266"/>
    <w:rsid w:val="005D43E5"/>
    <w:rsid w:val="005E261A"/>
    <w:rsid w:val="005E318D"/>
    <w:rsid w:val="005E5AF7"/>
    <w:rsid w:val="005E6229"/>
    <w:rsid w:val="005F00B7"/>
    <w:rsid w:val="005F03ED"/>
    <w:rsid w:val="005F283F"/>
    <w:rsid w:val="005F45A5"/>
    <w:rsid w:val="005F5DA3"/>
    <w:rsid w:val="005F613A"/>
    <w:rsid w:val="005F6D49"/>
    <w:rsid w:val="00601210"/>
    <w:rsid w:val="006041AE"/>
    <w:rsid w:val="006067D1"/>
    <w:rsid w:val="006129CD"/>
    <w:rsid w:val="00615760"/>
    <w:rsid w:val="00617EAB"/>
    <w:rsid w:val="00641E4C"/>
    <w:rsid w:val="00641FD4"/>
    <w:rsid w:val="006456F5"/>
    <w:rsid w:val="00652F6B"/>
    <w:rsid w:val="00657A48"/>
    <w:rsid w:val="0066272B"/>
    <w:rsid w:val="006664AB"/>
    <w:rsid w:val="006710AA"/>
    <w:rsid w:val="00673F68"/>
    <w:rsid w:val="00681DE1"/>
    <w:rsid w:val="006950A7"/>
    <w:rsid w:val="006A1B2C"/>
    <w:rsid w:val="006A3B25"/>
    <w:rsid w:val="006A3B76"/>
    <w:rsid w:val="006B4020"/>
    <w:rsid w:val="006B5E2B"/>
    <w:rsid w:val="006C2033"/>
    <w:rsid w:val="006C4C22"/>
    <w:rsid w:val="006C4F93"/>
    <w:rsid w:val="006D3895"/>
    <w:rsid w:val="006E488D"/>
    <w:rsid w:val="006E4E97"/>
    <w:rsid w:val="006F1605"/>
    <w:rsid w:val="006F2902"/>
    <w:rsid w:val="00702AEE"/>
    <w:rsid w:val="00702CFF"/>
    <w:rsid w:val="00703364"/>
    <w:rsid w:val="007043B6"/>
    <w:rsid w:val="00705E35"/>
    <w:rsid w:val="00717098"/>
    <w:rsid w:val="00721692"/>
    <w:rsid w:val="00721DB9"/>
    <w:rsid w:val="00721E1A"/>
    <w:rsid w:val="00722885"/>
    <w:rsid w:val="00727085"/>
    <w:rsid w:val="00733149"/>
    <w:rsid w:val="00736E8D"/>
    <w:rsid w:val="00737408"/>
    <w:rsid w:val="00741A35"/>
    <w:rsid w:val="00743EC4"/>
    <w:rsid w:val="00751778"/>
    <w:rsid w:val="00751C4D"/>
    <w:rsid w:val="00755B66"/>
    <w:rsid w:val="00762C49"/>
    <w:rsid w:val="00765B1C"/>
    <w:rsid w:val="00773D3A"/>
    <w:rsid w:val="00781DC6"/>
    <w:rsid w:val="007849D1"/>
    <w:rsid w:val="007909A0"/>
    <w:rsid w:val="007A1C7D"/>
    <w:rsid w:val="007A562E"/>
    <w:rsid w:val="007A5BD2"/>
    <w:rsid w:val="007B430F"/>
    <w:rsid w:val="007C12EB"/>
    <w:rsid w:val="007C5D18"/>
    <w:rsid w:val="007C6DA2"/>
    <w:rsid w:val="007D05DC"/>
    <w:rsid w:val="007E1D77"/>
    <w:rsid w:val="007F11BC"/>
    <w:rsid w:val="007F45A2"/>
    <w:rsid w:val="00806786"/>
    <w:rsid w:val="0080711F"/>
    <w:rsid w:val="0081222E"/>
    <w:rsid w:val="008169A7"/>
    <w:rsid w:val="008230BF"/>
    <w:rsid w:val="008251BF"/>
    <w:rsid w:val="008301C9"/>
    <w:rsid w:val="008322D4"/>
    <w:rsid w:val="00833765"/>
    <w:rsid w:val="00836AA6"/>
    <w:rsid w:val="0084050A"/>
    <w:rsid w:val="00840889"/>
    <w:rsid w:val="0085327D"/>
    <w:rsid w:val="008542E3"/>
    <w:rsid w:val="00854AFE"/>
    <w:rsid w:val="00857C38"/>
    <w:rsid w:val="00871235"/>
    <w:rsid w:val="00877AD7"/>
    <w:rsid w:val="00891957"/>
    <w:rsid w:val="008A2781"/>
    <w:rsid w:val="008B09E9"/>
    <w:rsid w:val="008B50D3"/>
    <w:rsid w:val="008C0535"/>
    <w:rsid w:val="008C666D"/>
    <w:rsid w:val="008E4862"/>
    <w:rsid w:val="008E6C79"/>
    <w:rsid w:val="008F0E7B"/>
    <w:rsid w:val="008F6DA6"/>
    <w:rsid w:val="008F7798"/>
    <w:rsid w:val="00900656"/>
    <w:rsid w:val="00912077"/>
    <w:rsid w:val="0091493A"/>
    <w:rsid w:val="00934E20"/>
    <w:rsid w:val="0094506F"/>
    <w:rsid w:val="009535C3"/>
    <w:rsid w:val="00960A46"/>
    <w:rsid w:val="00972845"/>
    <w:rsid w:val="00981466"/>
    <w:rsid w:val="009874EB"/>
    <w:rsid w:val="009978F0"/>
    <w:rsid w:val="009A1663"/>
    <w:rsid w:val="009B430B"/>
    <w:rsid w:val="009C7434"/>
    <w:rsid w:val="009F3FA9"/>
    <w:rsid w:val="009F42F9"/>
    <w:rsid w:val="00A05B4A"/>
    <w:rsid w:val="00A06ACB"/>
    <w:rsid w:val="00A07773"/>
    <w:rsid w:val="00A12569"/>
    <w:rsid w:val="00A15167"/>
    <w:rsid w:val="00A251DD"/>
    <w:rsid w:val="00A265F9"/>
    <w:rsid w:val="00A27C31"/>
    <w:rsid w:val="00A34E9B"/>
    <w:rsid w:val="00A71595"/>
    <w:rsid w:val="00A84A49"/>
    <w:rsid w:val="00A90A45"/>
    <w:rsid w:val="00AA117E"/>
    <w:rsid w:val="00AA5809"/>
    <w:rsid w:val="00AC029C"/>
    <w:rsid w:val="00AC6578"/>
    <w:rsid w:val="00AD100C"/>
    <w:rsid w:val="00AD1540"/>
    <w:rsid w:val="00AE5F4D"/>
    <w:rsid w:val="00B06466"/>
    <w:rsid w:val="00B14F81"/>
    <w:rsid w:val="00B25D29"/>
    <w:rsid w:val="00B2646E"/>
    <w:rsid w:val="00B3542B"/>
    <w:rsid w:val="00B40AA1"/>
    <w:rsid w:val="00B477C0"/>
    <w:rsid w:val="00B535B4"/>
    <w:rsid w:val="00B54FFF"/>
    <w:rsid w:val="00B672BB"/>
    <w:rsid w:val="00B7089B"/>
    <w:rsid w:val="00BA039A"/>
    <w:rsid w:val="00BA04F9"/>
    <w:rsid w:val="00BA7396"/>
    <w:rsid w:val="00BA7877"/>
    <w:rsid w:val="00BD4282"/>
    <w:rsid w:val="00BE11B9"/>
    <w:rsid w:val="00BF43F4"/>
    <w:rsid w:val="00C06EC3"/>
    <w:rsid w:val="00C111D8"/>
    <w:rsid w:val="00C179F9"/>
    <w:rsid w:val="00C32E83"/>
    <w:rsid w:val="00C35DE9"/>
    <w:rsid w:val="00C40B38"/>
    <w:rsid w:val="00C450DD"/>
    <w:rsid w:val="00C458F1"/>
    <w:rsid w:val="00C5148C"/>
    <w:rsid w:val="00C5246F"/>
    <w:rsid w:val="00C549B4"/>
    <w:rsid w:val="00C61723"/>
    <w:rsid w:val="00C630C7"/>
    <w:rsid w:val="00C72668"/>
    <w:rsid w:val="00C74B4F"/>
    <w:rsid w:val="00C75227"/>
    <w:rsid w:val="00C75DF0"/>
    <w:rsid w:val="00C773E3"/>
    <w:rsid w:val="00C87264"/>
    <w:rsid w:val="00C87DA2"/>
    <w:rsid w:val="00CB0FC5"/>
    <w:rsid w:val="00CE0F82"/>
    <w:rsid w:val="00CE5FCE"/>
    <w:rsid w:val="00CF25EB"/>
    <w:rsid w:val="00D014FE"/>
    <w:rsid w:val="00D0527B"/>
    <w:rsid w:val="00D06D2A"/>
    <w:rsid w:val="00D1523C"/>
    <w:rsid w:val="00D208D2"/>
    <w:rsid w:val="00D25692"/>
    <w:rsid w:val="00D2720B"/>
    <w:rsid w:val="00D27C82"/>
    <w:rsid w:val="00D31BD6"/>
    <w:rsid w:val="00D36EDF"/>
    <w:rsid w:val="00D40332"/>
    <w:rsid w:val="00D4308A"/>
    <w:rsid w:val="00D505D4"/>
    <w:rsid w:val="00D708E8"/>
    <w:rsid w:val="00D741CF"/>
    <w:rsid w:val="00D77412"/>
    <w:rsid w:val="00D775A9"/>
    <w:rsid w:val="00D87041"/>
    <w:rsid w:val="00D87CB1"/>
    <w:rsid w:val="00D94B5F"/>
    <w:rsid w:val="00DA6EEA"/>
    <w:rsid w:val="00DB1891"/>
    <w:rsid w:val="00DB7DAA"/>
    <w:rsid w:val="00DC1978"/>
    <w:rsid w:val="00E00BAF"/>
    <w:rsid w:val="00E15B02"/>
    <w:rsid w:val="00E3478E"/>
    <w:rsid w:val="00E41D49"/>
    <w:rsid w:val="00E54555"/>
    <w:rsid w:val="00E54AEA"/>
    <w:rsid w:val="00E57AB2"/>
    <w:rsid w:val="00E60512"/>
    <w:rsid w:val="00E61671"/>
    <w:rsid w:val="00E721E9"/>
    <w:rsid w:val="00E80201"/>
    <w:rsid w:val="00E8076E"/>
    <w:rsid w:val="00E860B4"/>
    <w:rsid w:val="00E90CE9"/>
    <w:rsid w:val="00E95789"/>
    <w:rsid w:val="00EC58BD"/>
    <w:rsid w:val="00ED0AF4"/>
    <w:rsid w:val="00ED0F74"/>
    <w:rsid w:val="00ED1AD7"/>
    <w:rsid w:val="00ED4766"/>
    <w:rsid w:val="00EF1D5B"/>
    <w:rsid w:val="00EF59ED"/>
    <w:rsid w:val="00F06F77"/>
    <w:rsid w:val="00F14603"/>
    <w:rsid w:val="00F1558B"/>
    <w:rsid w:val="00F155D0"/>
    <w:rsid w:val="00F20105"/>
    <w:rsid w:val="00F30BF8"/>
    <w:rsid w:val="00F30D86"/>
    <w:rsid w:val="00F34423"/>
    <w:rsid w:val="00F4621D"/>
    <w:rsid w:val="00F572EA"/>
    <w:rsid w:val="00F640B1"/>
    <w:rsid w:val="00F71067"/>
    <w:rsid w:val="00F72683"/>
    <w:rsid w:val="00F7323E"/>
    <w:rsid w:val="00F7433F"/>
    <w:rsid w:val="00F758A3"/>
    <w:rsid w:val="00F829CD"/>
    <w:rsid w:val="00F9030F"/>
    <w:rsid w:val="00F95F7C"/>
    <w:rsid w:val="00FA0F86"/>
    <w:rsid w:val="00FA6472"/>
    <w:rsid w:val="00FB5A5C"/>
    <w:rsid w:val="00FB5EE2"/>
    <w:rsid w:val="00FB6BD5"/>
    <w:rsid w:val="00FB7CBA"/>
    <w:rsid w:val="00FC2A13"/>
    <w:rsid w:val="00FE56E0"/>
    <w:rsid w:val="00FF1494"/>
    <w:rsid w:val="00FF4C57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CDF6BA-19C7-4DCF-BEE8-ADD2A182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eastAsia="Calibri" w:hAnsi="Arial"/>
      <w:b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A7396"/>
    <w:rPr>
      <w:rFonts w:ascii="Arial" w:hAnsi="Arial" w:cs="Times New Roman"/>
      <w:b/>
      <w:sz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eastAsia="Calibri" w:hAnsi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locked/>
    <w:rsid w:val="00BA7396"/>
    <w:rPr>
      <w:rFonts w:ascii="Arial" w:hAnsi="Arial" w:cs="Times New Roman"/>
      <w:sz w:val="16"/>
      <w:lang w:val="en-GB" w:eastAsia="en-GB"/>
    </w:rPr>
  </w:style>
  <w:style w:type="character" w:styleId="FootnoteReference">
    <w:name w:val="footnote reference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99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uiPriority w:val="99"/>
    <w:rsid w:val="005F03ED"/>
    <w:rPr>
      <w:rFonts w:ascii="Arial" w:hAnsi="Arial"/>
      <w:vanish/>
      <w:sz w:val="18"/>
    </w:rPr>
  </w:style>
  <w:style w:type="table" w:styleId="LightGrid-Accent5">
    <w:name w:val="Light Grid Accent 5"/>
    <w:basedOn w:val="TableNormal"/>
    <w:uiPriority w:val="99"/>
    <w:rsid w:val="000511F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7FCF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1D0B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D0BF0"/>
    <w:rPr>
      <w:rFonts w:ascii="Garamond" w:hAnsi="Garamond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1D0BF0"/>
    <w:rPr>
      <w:rFonts w:ascii="Garamond" w:hAnsi="Garamond" w:cs="Times New Roman"/>
      <w:b/>
      <w:sz w:val="20"/>
      <w:lang w:val="en-GB" w:eastAsia="en-GB"/>
    </w:rPr>
  </w:style>
  <w:style w:type="character" w:styleId="Emphasis">
    <w:name w:val="Emphasis"/>
    <w:uiPriority w:val="99"/>
    <w:qFormat/>
    <w:locked/>
    <w:rsid w:val="00B672BB"/>
    <w:rPr>
      <w:rFonts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557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B5577"/>
    <w:rPr>
      <w:rFonts w:ascii="Garamond" w:eastAsia="Times New Roman" w:hAnsi="Garamond"/>
      <w:bCs/>
      <w:sz w:val="24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Marusic</dc:creator>
  <cp:keywords/>
  <dc:description/>
  <cp:lastModifiedBy>Microsoft account</cp:lastModifiedBy>
  <cp:revision>132</cp:revision>
  <cp:lastPrinted>2024-10-14T10:52:00Z</cp:lastPrinted>
  <dcterms:created xsi:type="dcterms:W3CDTF">2021-01-14T07:46:00Z</dcterms:created>
  <dcterms:modified xsi:type="dcterms:W3CDTF">2024-10-14T10:54:00Z</dcterms:modified>
</cp:coreProperties>
</file>