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23DD41" w14:textId="4F7C9A1A" w:rsidR="0057749B" w:rsidRPr="00A30024" w:rsidRDefault="00A30024" w:rsidP="00A07773">
      <w:pPr>
        <w:autoSpaceDE w:val="0"/>
        <w:autoSpaceDN w:val="0"/>
        <w:adjustRightInd w:val="0"/>
        <w:jc w:val="right"/>
        <w:rPr>
          <w:rFonts w:ascii="Arial" w:hAnsi="Arial" w:cs="Arial"/>
          <w:b/>
          <w:noProof/>
          <w:color w:val="244061"/>
          <w:sz w:val="20"/>
          <w:szCs w:val="20"/>
          <w:lang w:val="sr-Latn-CS"/>
        </w:rPr>
      </w:pPr>
      <w:r>
        <w:rPr>
          <w:rFonts w:ascii="Arial" w:hAnsi="Arial" w:cs="Arial"/>
          <w:b/>
          <w:noProof/>
          <w:color w:val="244061"/>
          <w:szCs w:val="24"/>
          <w:lang w:val="sr-Latn-CS"/>
        </w:rPr>
        <w:t>OBRAZAC</w:t>
      </w:r>
    </w:p>
    <w:p w14:paraId="7B23DD42" w14:textId="77777777" w:rsidR="0057749B" w:rsidRPr="00A30024" w:rsidRDefault="0057749B" w:rsidP="00BA7396">
      <w:pPr>
        <w:autoSpaceDE w:val="0"/>
        <w:autoSpaceDN w:val="0"/>
        <w:adjustRightInd w:val="0"/>
        <w:rPr>
          <w:rFonts w:ascii="Arial" w:hAnsi="Arial" w:cs="Arial"/>
          <w:b/>
          <w:noProof/>
          <w:sz w:val="20"/>
          <w:szCs w:val="20"/>
          <w:lang w:val="sr-Latn-CS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A0" w:firstRow="1" w:lastRow="0" w:firstColumn="1" w:lastColumn="0" w:noHBand="0" w:noVBand="0"/>
      </w:tblPr>
      <w:tblGrid>
        <w:gridCol w:w="3978"/>
        <w:gridCol w:w="5598"/>
      </w:tblGrid>
      <w:tr w:rsidR="0057749B" w:rsidRPr="00A30024" w14:paraId="7B23DD44" w14:textId="77777777" w:rsidTr="000F05ED">
        <w:tc>
          <w:tcPr>
            <w:tcW w:w="9576" w:type="dxa"/>
            <w:gridSpan w:val="2"/>
            <w:tcBorders>
              <w:bottom w:val="single" w:sz="18" w:space="0" w:color="4BACC6"/>
            </w:tcBorders>
          </w:tcPr>
          <w:p w14:paraId="7B23DD43" w14:textId="146BC4CF" w:rsidR="0057749B" w:rsidRPr="00A30024" w:rsidRDefault="00A30024" w:rsidP="000F05E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noProof/>
                <w:color w:val="17365D"/>
                <w:sz w:val="28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2"/>
                <w:szCs w:val="24"/>
                <w:lang w:val="sr-Latn-CS"/>
              </w:rPr>
              <w:t>IZVJEŠTAJ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2"/>
                <w:szCs w:val="24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2"/>
                <w:szCs w:val="24"/>
                <w:lang w:val="sr-Latn-CS"/>
              </w:rPr>
              <w:t>O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2"/>
                <w:szCs w:val="24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2"/>
                <w:szCs w:val="24"/>
                <w:lang w:val="sr-Latn-CS"/>
              </w:rPr>
              <w:t>ANALIZI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2"/>
                <w:szCs w:val="24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2"/>
                <w:szCs w:val="24"/>
                <w:lang w:val="sr-Latn-CS"/>
              </w:rPr>
              <w:t>UTICAJA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2"/>
                <w:szCs w:val="24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2"/>
                <w:szCs w:val="24"/>
                <w:lang w:val="sr-Latn-CS"/>
              </w:rPr>
              <w:t>PROPISA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2"/>
                <w:szCs w:val="24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2"/>
                <w:szCs w:val="24"/>
                <w:lang w:val="sr-Latn-CS"/>
              </w:rPr>
              <w:t>ZA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2"/>
                <w:szCs w:val="24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2"/>
                <w:szCs w:val="24"/>
                <w:lang w:val="sr-Latn-CS"/>
              </w:rPr>
              <w:t>LOKALNE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2"/>
                <w:szCs w:val="24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2"/>
                <w:szCs w:val="24"/>
                <w:lang w:val="sr-Latn-CS"/>
              </w:rPr>
              <w:t>SAMOUPRAVE</w:t>
            </w:r>
          </w:p>
        </w:tc>
      </w:tr>
      <w:tr w:rsidR="0057749B" w:rsidRPr="00A30024" w14:paraId="7B23DD47" w14:textId="77777777" w:rsidTr="000F05ED">
        <w:tc>
          <w:tcPr>
            <w:tcW w:w="3978" w:type="dxa"/>
            <w:shd w:val="clear" w:color="auto" w:fill="D2EAF1"/>
          </w:tcPr>
          <w:p w14:paraId="7B23DD45" w14:textId="7A8899CB" w:rsidR="0057749B" w:rsidRPr="00A30024" w:rsidRDefault="00A30024" w:rsidP="000F05E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OBRAĐIVAČ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PROPISA</w:t>
            </w:r>
          </w:p>
        </w:tc>
        <w:tc>
          <w:tcPr>
            <w:tcW w:w="5598" w:type="dxa"/>
            <w:shd w:val="clear" w:color="auto" w:fill="D2EAF1"/>
          </w:tcPr>
          <w:p w14:paraId="7B23DD46" w14:textId="0A17E1F0" w:rsidR="0057749B" w:rsidRPr="00A30024" w:rsidRDefault="00A30024" w:rsidP="00A3002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noProof/>
                <w:color w:val="17365D"/>
                <w:sz w:val="20"/>
                <w:szCs w:val="20"/>
                <w:lang w:val="sr-Latn-CS"/>
              </w:rPr>
              <w:t>Sekretarijat</w:t>
            </w:r>
            <w:r w:rsidR="00E15B02" w:rsidRPr="00A30024">
              <w:rPr>
                <w:rFonts w:ascii="Arial" w:hAnsi="Arial" w:cs="Arial"/>
                <w:b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color w:val="17365D"/>
                <w:sz w:val="20"/>
                <w:szCs w:val="20"/>
                <w:lang w:val="sr-Latn-CS"/>
              </w:rPr>
              <w:t>za</w:t>
            </w:r>
            <w:r w:rsidR="00E15B02" w:rsidRPr="00A30024">
              <w:rPr>
                <w:rFonts w:ascii="Arial" w:hAnsi="Arial" w:cs="Arial"/>
                <w:b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color w:val="17365D"/>
                <w:sz w:val="20"/>
                <w:szCs w:val="20"/>
                <w:lang w:val="sr-Latn-CS"/>
              </w:rPr>
              <w:t>sport i</w:t>
            </w:r>
            <w:r w:rsidR="00E15B02" w:rsidRPr="00A30024">
              <w:rPr>
                <w:rFonts w:ascii="Arial" w:hAnsi="Arial" w:cs="Arial"/>
                <w:b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color w:val="17365D"/>
                <w:sz w:val="20"/>
                <w:szCs w:val="20"/>
                <w:lang w:val="sr-Latn-CS"/>
              </w:rPr>
              <w:t>mlade</w:t>
            </w:r>
          </w:p>
        </w:tc>
      </w:tr>
      <w:tr w:rsidR="0057749B" w:rsidRPr="00A30024" w14:paraId="7B23DD4A" w14:textId="77777777" w:rsidTr="000F05ED">
        <w:tc>
          <w:tcPr>
            <w:tcW w:w="3978" w:type="dxa"/>
          </w:tcPr>
          <w:p w14:paraId="7B23DD48" w14:textId="2C7231C5" w:rsidR="0057749B" w:rsidRPr="00A30024" w:rsidRDefault="00A30024" w:rsidP="000F05E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NAZIV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PROPISA</w:t>
            </w:r>
          </w:p>
        </w:tc>
        <w:tc>
          <w:tcPr>
            <w:tcW w:w="5598" w:type="dxa"/>
          </w:tcPr>
          <w:p w14:paraId="7B23DD49" w14:textId="23CFA0B4" w:rsidR="0057749B" w:rsidRPr="00A30024" w:rsidRDefault="00A30024" w:rsidP="00A3002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noProof/>
                <w:color w:val="17365D"/>
                <w:sz w:val="20"/>
                <w:szCs w:val="20"/>
                <w:lang w:val="sr-Latn-CS"/>
              </w:rPr>
              <w:t>Predlog</w:t>
            </w:r>
            <w:r w:rsidR="0057749B" w:rsidRPr="00A30024">
              <w:rPr>
                <w:rFonts w:ascii="Arial" w:hAnsi="Arial" w:cs="Arial"/>
                <w:b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color w:val="17365D"/>
                <w:sz w:val="20"/>
                <w:szCs w:val="20"/>
                <w:lang w:val="sr-Latn-CS"/>
              </w:rPr>
              <w:t>odluke</w:t>
            </w:r>
            <w:r w:rsidR="0057749B" w:rsidRPr="00A30024">
              <w:rPr>
                <w:rFonts w:ascii="Arial" w:hAnsi="Arial" w:cs="Arial"/>
                <w:b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color w:val="17365D"/>
                <w:sz w:val="20"/>
                <w:szCs w:val="20"/>
                <w:lang w:val="sr-Latn-CS"/>
              </w:rPr>
              <w:t>o</w:t>
            </w:r>
            <w:r w:rsidR="008D3487" w:rsidRPr="00A30024">
              <w:rPr>
                <w:rFonts w:ascii="Arial" w:hAnsi="Arial" w:cs="Arial"/>
                <w:b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color w:val="17365D"/>
                <w:sz w:val="20"/>
                <w:szCs w:val="20"/>
                <w:lang w:val="sr-Latn-CS"/>
              </w:rPr>
              <w:t>osnivanju</w:t>
            </w:r>
            <w:r w:rsidR="008D3487" w:rsidRPr="00A30024">
              <w:rPr>
                <w:rFonts w:ascii="Arial" w:hAnsi="Arial" w:cs="Arial"/>
                <w:b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color w:val="17365D"/>
                <w:sz w:val="20"/>
                <w:szCs w:val="20"/>
                <w:lang w:val="sr-Latn-CS"/>
              </w:rPr>
              <w:t>Vaterpolo</w:t>
            </w:r>
            <w:r w:rsidR="008D3487" w:rsidRPr="00A30024">
              <w:rPr>
                <w:rFonts w:ascii="Arial" w:hAnsi="Arial" w:cs="Arial"/>
                <w:b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color w:val="17365D"/>
                <w:sz w:val="20"/>
                <w:szCs w:val="20"/>
                <w:lang w:val="sr-Latn-CS"/>
              </w:rPr>
              <w:t>kluba</w:t>
            </w:r>
            <w:r w:rsidR="008D3487" w:rsidRPr="00A30024">
              <w:rPr>
                <w:rFonts w:ascii="Arial" w:hAnsi="Arial" w:cs="Arial"/>
                <w:b/>
                <w:noProof/>
                <w:color w:val="17365D"/>
                <w:sz w:val="20"/>
                <w:szCs w:val="20"/>
                <w:lang w:val="sr-Latn-CS"/>
              </w:rPr>
              <w:t xml:space="preserve"> „</w:t>
            </w:r>
            <w:r>
              <w:rPr>
                <w:rFonts w:ascii="Arial" w:hAnsi="Arial" w:cs="Arial"/>
                <w:b/>
                <w:noProof/>
                <w:color w:val="17365D"/>
                <w:sz w:val="20"/>
                <w:szCs w:val="20"/>
                <w:lang w:val="sr-Latn-CS"/>
              </w:rPr>
              <w:t>Sutjeska</w:t>
            </w:r>
            <w:r w:rsidR="008D3487" w:rsidRPr="00A30024">
              <w:rPr>
                <w:rFonts w:ascii="Arial" w:hAnsi="Arial" w:cs="Arial"/>
                <w:b/>
                <w:noProof/>
                <w:color w:val="17365D"/>
                <w:sz w:val="20"/>
                <w:szCs w:val="20"/>
                <w:lang w:val="sr-Latn-CS"/>
              </w:rPr>
              <w:t xml:space="preserve">“ </w:t>
            </w:r>
            <w:r>
              <w:rPr>
                <w:rFonts w:ascii="Arial" w:hAnsi="Arial" w:cs="Arial"/>
                <w:b/>
                <w:noProof/>
                <w:color w:val="17365D"/>
                <w:sz w:val="20"/>
                <w:szCs w:val="20"/>
                <w:lang w:val="sr-Latn-CS"/>
              </w:rPr>
              <w:t>Nikšić</w:t>
            </w:r>
          </w:p>
        </w:tc>
      </w:tr>
      <w:tr w:rsidR="0057749B" w:rsidRPr="00A30024" w14:paraId="7B23DD56" w14:textId="77777777" w:rsidTr="000F05ED">
        <w:tc>
          <w:tcPr>
            <w:tcW w:w="9576" w:type="dxa"/>
            <w:gridSpan w:val="2"/>
            <w:shd w:val="clear" w:color="auto" w:fill="D2EAF1"/>
          </w:tcPr>
          <w:p w14:paraId="7B23DD4B" w14:textId="3D3FD4CC" w:rsidR="0057749B" w:rsidRPr="00A30024" w:rsidRDefault="0057749B" w:rsidP="000F05E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1. </w:t>
            </w:r>
            <w:r w:rsid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Definisanje</w:t>
            </w:r>
            <w:r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 w:rsid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problema</w:t>
            </w:r>
          </w:p>
          <w:p w14:paraId="7B23DD4C" w14:textId="7859F381" w:rsidR="0057749B" w:rsidRPr="00A30024" w:rsidRDefault="00A30024" w:rsidP="000F05E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li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je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propis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posljedica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zahtjeva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(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propisa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)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državnom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nivou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?</w:t>
            </w:r>
          </w:p>
          <w:p w14:paraId="7B23DD4D" w14:textId="7C621B3C" w:rsidR="0057749B" w:rsidRPr="00A30024" w:rsidRDefault="00A30024" w:rsidP="000F05E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Navesti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zakonski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osnov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donošenje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propisa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kao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odnos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strateškim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dokumentima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lokalne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samouprave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ako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postoji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?</w:t>
            </w:r>
          </w:p>
          <w:p w14:paraId="7B23DD4E" w14:textId="5A27F827" w:rsidR="0057749B" w:rsidRPr="00A30024" w:rsidRDefault="00A30024" w:rsidP="000F05E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li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lokalna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samouprava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može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odstupati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od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odredbi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propisa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državnom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nivou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kojoj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mjeri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?</w:t>
            </w:r>
          </w:p>
          <w:p w14:paraId="7B23DD4F" w14:textId="5A6D628E" w:rsidR="0057749B" w:rsidRPr="00A30024" w:rsidRDefault="00A30024" w:rsidP="000F05E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li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je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riječ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sopstvenim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nadležnostima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ili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prenesenom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odnosno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povjerenom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poslu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lokalne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samouprave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?</w:t>
            </w:r>
          </w:p>
          <w:p w14:paraId="7B23DD50" w14:textId="1F5027D1" w:rsidR="0057749B" w:rsidRPr="00A30024" w:rsidRDefault="00A30024" w:rsidP="000F05E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Koje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probleme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treba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riješi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predloženi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akt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?</w:t>
            </w:r>
          </w:p>
          <w:p w14:paraId="7B23DD51" w14:textId="4B93FB09" w:rsidR="0057749B" w:rsidRPr="00A30024" w:rsidRDefault="00A30024" w:rsidP="000F05E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li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problem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ima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rodnu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dimenziju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? (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ima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posebni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uticaj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žene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)</w:t>
            </w:r>
          </w:p>
          <w:p w14:paraId="7B23DD52" w14:textId="0B1C7A03" w:rsidR="0057749B" w:rsidRPr="00A30024" w:rsidRDefault="00A30024" w:rsidP="000F05E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Koji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uzroci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problema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?</w:t>
            </w:r>
          </w:p>
          <w:p w14:paraId="7B23DD53" w14:textId="6BF6A033" w:rsidR="0057749B" w:rsidRPr="00A30024" w:rsidRDefault="00A30024" w:rsidP="000F05E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Koje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posljedice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problema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?</w:t>
            </w:r>
          </w:p>
          <w:p w14:paraId="7B23DD54" w14:textId="234CE161" w:rsidR="0057749B" w:rsidRPr="00A30024" w:rsidRDefault="00A30024" w:rsidP="000F05E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Koji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subjekti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oštećeni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koji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način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kojoj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mjeri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? (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žene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-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muškarci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)</w:t>
            </w:r>
          </w:p>
          <w:p w14:paraId="7B23DD55" w14:textId="569462B2" w:rsidR="0057749B" w:rsidRPr="00A30024" w:rsidRDefault="00A30024" w:rsidP="003B557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Kako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bi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problem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evoluirao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bez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promjene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propisa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(“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status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q</w:t>
            </w:r>
            <w:r w:rsidR="003B5577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”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opcija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)?</w:t>
            </w:r>
          </w:p>
        </w:tc>
      </w:tr>
      <w:tr w:rsidR="0057749B" w:rsidRPr="00430934" w14:paraId="7B23DD61" w14:textId="77777777" w:rsidTr="000F05ED">
        <w:tc>
          <w:tcPr>
            <w:tcW w:w="9576" w:type="dxa"/>
            <w:gridSpan w:val="2"/>
          </w:tcPr>
          <w:p w14:paraId="7B23DD57" w14:textId="6D8485C4" w:rsidR="0057749B" w:rsidRPr="00A30024" w:rsidRDefault="00A30024" w:rsidP="00E8076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Ovaj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propis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je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posledica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zahtjeva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(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propisa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)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državnom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nivou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.</w:t>
            </w:r>
          </w:p>
          <w:p w14:paraId="7B23DD58" w14:textId="55ED48D3" w:rsidR="00C5246F" w:rsidRPr="00A30024" w:rsidRDefault="00A30024" w:rsidP="00C5246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Pravni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osnov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donošenje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ove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odluke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sadržan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je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čl</w:t>
            </w:r>
            <w:r w:rsidR="008D3487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. 47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8D3487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50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Zakona</w:t>
            </w:r>
            <w:r w:rsidR="008D3487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</w:t>
            </w:r>
            <w:r w:rsidR="008D3487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sportu</w:t>
            </w:r>
            <w:r w:rsidR="008D3487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(„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Službeni</w:t>
            </w:r>
            <w:r w:rsidR="008D3487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list</w:t>
            </w:r>
            <w:r w:rsidR="008D3487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Crne</w:t>
            </w:r>
            <w:r w:rsidR="008D3487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Gore</w:t>
            </w:r>
            <w:r w:rsidR="008D3487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“,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br</w:t>
            </w:r>
            <w:r w:rsidR="008D3487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. 44/18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8D3487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123/21),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članu</w:t>
            </w:r>
            <w:r w:rsidR="008D3487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27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stav</w:t>
            </w:r>
            <w:r w:rsidR="008D3487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1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tačka</w:t>
            </w:r>
            <w:r w:rsidR="008D3487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13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8D3487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članu</w:t>
            </w:r>
            <w:r w:rsidR="008D3487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38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stav</w:t>
            </w:r>
            <w:r w:rsidR="008D3487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1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tačka</w:t>
            </w:r>
            <w:r w:rsidR="008D3487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2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Zakona</w:t>
            </w:r>
            <w:r w:rsidR="008D3487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</w:t>
            </w:r>
            <w:r w:rsidR="008D3487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lokalnoj</w:t>
            </w:r>
            <w:r w:rsidR="008D3487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samoupravi</w:t>
            </w:r>
            <w:r w:rsidR="008D3487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(„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Službeni</w:t>
            </w:r>
            <w:r w:rsidR="008D3487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list</w:t>
            </w:r>
            <w:r w:rsidR="008D3487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Crne</w:t>
            </w:r>
            <w:r w:rsidR="008D3487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Gore</w:t>
            </w:r>
            <w:r w:rsidR="008D3487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“,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br</w:t>
            </w:r>
            <w:r w:rsidR="008D3487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. 2/18, 34/19, 38/20, 50/22, 84/22, 81/25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8D3487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98/25),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članu</w:t>
            </w:r>
            <w:r w:rsidR="008D3487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35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stav</w:t>
            </w:r>
            <w:r w:rsidR="008D3487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1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tačka</w:t>
            </w:r>
            <w:r w:rsidR="008D3487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2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8D3487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članu</w:t>
            </w:r>
            <w:r w:rsidR="008D3487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38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stav</w:t>
            </w:r>
            <w:r w:rsidR="008D3487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1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Statuta</w:t>
            </w:r>
            <w:r w:rsidR="008D3487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opštine</w:t>
            </w:r>
            <w:r w:rsidR="008D3487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Nikšić</w:t>
            </w:r>
            <w:r w:rsidR="008D3487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(„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Službeni</w:t>
            </w:r>
            <w:r w:rsidR="008D3487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list</w:t>
            </w:r>
            <w:r w:rsidR="008D3487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Crne</w:t>
            </w:r>
            <w:r w:rsidR="008D3487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Gore</w:t>
            </w:r>
            <w:r w:rsidR="008D3487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-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Opštinski</w:t>
            </w:r>
            <w:r w:rsidR="008D3487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propisi</w:t>
            </w:r>
            <w:r w:rsidR="008D3487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“,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br</w:t>
            </w:r>
            <w:r w:rsidR="008D3487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. 31/18, 21/23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8D3487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42/25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8D3487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„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Službeni</w:t>
            </w:r>
            <w:r w:rsidR="008D3487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list</w:t>
            </w:r>
            <w:r w:rsidR="008D3487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Crne</w:t>
            </w:r>
            <w:r w:rsidR="008D3487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Gore</w:t>
            </w:r>
            <w:r w:rsidR="008D3487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-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broj</w:t>
            </w:r>
            <w:r w:rsidR="008D3487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62/25).</w:t>
            </w:r>
          </w:p>
          <w:p w14:paraId="7B23DD59" w14:textId="39EDEAB0" w:rsidR="0057749B" w:rsidRPr="00A30024" w:rsidRDefault="00A30024" w:rsidP="00FF782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Lokalna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samouprava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može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odstupiti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od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odredbi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propisa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državnom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nivou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već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samo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može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bliže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odrediti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iste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.</w:t>
            </w:r>
          </w:p>
          <w:p w14:paraId="7B23DD5A" w14:textId="4129F791" w:rsidR="0057749B" w:rsidRPr="00A30024" w:rsidRDefault="00A30024" w:rsidP="00FF782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Riječ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je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sopstvenim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nadležnostima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lokalne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samouprave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.</w:t>
            </w:r>
          </w:p>
          <w:p w14:paraId="7B23DD5B" w14:textId="50712F70" w:rsidR="00721E1A" w:rsidRPr="00A30024" w:rsidRDefault="00A30024" w:rsidP="008F6DA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noProof/>
                <w:color w:val="FF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Predložena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odluka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treba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da</w:t>
            </w:r>
            <w:r w:rsidR="00C93F7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:</w:t>
            </w:r>
            <w:r w:rsidR="00295DCE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riješi</w:t>
            </w:r>
            <w:r w:rsidR="00EA4092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problem</w:t>
            </w:r>
            <w:r w:rsidR="00EA4092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nepostojanja</w:t>
            </w:r>
            <w:r w:rsidR="00EA4092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 w:rsidR="00D17233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dobro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organizovanih</w:t>
            </w:r>
            <w:r w:rsidR="00EA4092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uslova</w:t>
            </w:r>
            <w:r w:rsidR="00EA4092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</w:t>
            </w:r>
            <w:r w:rsidR="00EA4092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bavljenje</w:t>
            </w:r>
            <w:r w:rsidR="00EA4092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 w:rsidR="00D17233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vaterpolo sportom</w:t>
            </w:r>
            <w:r w:rsidR="00EA4092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</w:t>
            </w:r>
            <w:r w:rsidR="00EA4092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gradu</w:t>
            </w:r>
            <w:r w:rsidR="00EE1C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;</w:t>
            </w:r>
            <w:r w:rsidR="00EA4092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unaprijedi</w:t>
            </w:r>
            <w:r w:rsidR="00EA4092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razvoj</w:t>
            </w:r>
            <w:r w:rsidR="00EA4092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vodenih</w:t>
            </w:r>
            <w:r w:rsidR="00EA4092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sportova</w:t>
            </w:r>
            <w:r w:rsidR="00EA4092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EA4092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omogući</w:t>
            </w:r>
            <w:r w:rsidR="00EA4092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uključivanje</w:t>
            </w:r>
            <w:r w:rsidR="00EA4092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talentovane</w:t>
            </w:r>
            <w:r w:rsidR="00EA4092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djece</w:t>
            </w:r>
            <w:r w:rsidR="00EA4092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EA4092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mladih</w:t>
            </w:r>
            <w:r w:rsidR="00EE1C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;</w:t>
            </w:r>
            <w:r w:rsidR="00EA4092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doprinese</w:t>
            </w:r>
            <w:r w:rsidR="00EA4092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popularizaciji</w:t>
            </w:r>
            <w:r w:rsidR="00EA4092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vaterpola</w:t>
            </w:r>
            <w:r w:rsidR="00EA4092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EA4092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promociji</w:t>
            </w:r>
            <w:r w:rsidR="00EA4092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zdravih</w:t>
            </w:r>
            <w:r w:rsidR="00EA4092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stilova</w:t>
            </w:r>
            <w:r w:rsidR="00EA4092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života</w:t>
            </w:r>
            <w:r w:rsidR="00EE1C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;</w:t>
            </w:r>
            <w:r w:rsidR="00EA4092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omogući</w:t>
            </w:r>
            <w:r w:rsidR="00EA4092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bolju</w:t>
            </w:r>
            <w:r w:rsidR="00EA4092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iskorišćenost</w:t>
            </w:r>
            <w:r w:rsidR="00EA4092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postojećih</w:t>
            </w:r>
            <w:r w:rsidR="00EA4092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infrastrukturnih</w:t>
            </w:r>
            <w:r w:rsidR="00EA4092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kapaciteta</w:t>
            </w:r>
            <w:r w:rsidR="00EE1C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;</w:t>
            </w:r>
            <w:r w:rsidR="00EA4092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stvori</w:t>
            </w:r>
            <w:r w:rsidR="00EA4092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uslove</w:t>
            </w:r>
            <w:r w:rsidR="00EA4092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</w:t>
            </w:r>
            <w:r w:rsidR="00EA4092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afirmaciju</w:t>
            </w:r>
            <w:r w:rsidR="00EA4092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lokalnih</w:t>
            </w:r>
            <w:r w:rsidR="00EA4092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vaterpolo</w:t>
            </w:r>
            <w:r w:rsidR="00EA4092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stručnjaka</w:t>
            </w:r>
            <w:r w:rsidR="00EE1C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;</w:t>
            </w:r>
            <w:r w:rsidR="00EA4092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te</w:t>
            </w:r>
            <w:r w:rsidR="00EA4092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 w:rsidR="00EE1C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da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omogući</w:t>
            </w:r>
            <w:r w:rsidR="00EA4092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organizovanje</w:t>
            </w:r>
            <w:r w:rsidR="00EA4092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sportskih</w:t>
            </w:r>
            <w:r w:rsidR="00EA4092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manifestacija</w:t>
            </w:r>
            <w:r w:rsidR="00EA4092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koje</w:t>
            </w:r>
            <w:r w:rsidR="00EA4092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će</w:t>
            </w:r>
            <w:r w:rsidR="00EA4092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dodatno</w:t>
            </w:r>
            <w:r w:rsidR="00EA4092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doprinijeti</w:t>
            </w:r>
            <w:r w:rsidR="00EA4092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promociji</w:t>
            </w:r>
            <w:r w:rsidR="00EA4092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EA4092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sportskom</w:t>
            </w:r>
            <w:r w:rsidR="00EA4092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razvoju</w:t>
            </w:r>
            <w:r w:rsidR="00EA4092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Nikšića</w:t>
            </w:r>
            <w:r w:rsidR="00EA4092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.</w:t>
            </w:r>
          </w:p>
          <w:p w14:paraId="7B23DD5C" w14:textId="66012AD4" w:rsidR="0057749B" w:rsidRPr="00A30024" w:rsidRDefault="00A30024" w:rsidP="004210E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Problem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ima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podjednaku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rodnu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dimenziju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. </w:t>
            </w:r>
          </w:p>
          <w:p w14:paraId="7B23DD5E" w14:textId="500A51E1" w:rsidR="00721E1A" w:rsidRPr="00A30024" w:rsidRDefault="00A30024" w:rsidP="00C458F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Uzroci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identifikovanih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problema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proizilaze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iz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dugogodišnjeg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nepostojanja</w:t>
            </w:r>
            <w:r w:rsidR="001B0B5D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dobro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institucionalno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organizovanog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vaterpolo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sistema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Nikšiću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što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je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uslovilo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odsustvo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programa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treninga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takmičarskih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utakmica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kao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nedostatak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stručnog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kadra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koji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bi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vodio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rad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vodenim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sportovima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.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Dodatno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nedovoljna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razvijenost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sportske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infrastrukture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nepostojanje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strateškog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pristupa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unapređenju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vodenih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sportova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doveli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su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do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ograničene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ponude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sportskih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sadržaja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djecu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omladinu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.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Nedovoljna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promocija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fizičke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aktivnosti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zdravih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stilova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života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uz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minimalan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broj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sportskih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manifestacija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koje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bi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afirmisale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vodene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sportove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dodatno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su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doprinijeli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slaboj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vidljivosti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dostupnosti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vaterpola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lokalnoj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zajednici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.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Konačno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nepostojanje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organizovanih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klubova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rezultiralo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je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time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da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potencijalni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talenti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kao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lokalni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sportski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stručnjaci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nemaju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mogućnosti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razvoj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angažovanje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ovoj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lastRenderedPageBreak/>
              <w:t>sportskoj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oblasti</w:t>
            </w:r>
            <w:r w:rsidR="0042033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.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Posledice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problema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usporen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razvoj</w:t>
            </w:r>
            <w:r w:rsidR="00721E1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721E1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unapređenje</w:t>
            </w:r>
            <w:r w:rsidR="00721E1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sporta</w:t>
            </w:r>
            <w:r w:rsidR="00721E1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na</w:t>
            </w:r>
            <w:r w:rsidR="00721E1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opštinskom</w:t>
            </w:r>
            <w:r w:rsidR="00721E1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nivou</w:t>
            </w:r>
            <w:r w:rsidR="00721E1A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.</w:t>
            </w:r>
          </w:p>
          <w:p w14:paraId="6C483982" w14:textId="36F40C24" w:rsidR="000E0201" w:rsidRPr="00A30024" w:rsidRDefault="00A30024" w:rsidP="00F9641C">
            <w:pPr>
              <w:numPr>
                <w:ilvl w:val="0"/>
                <w:numId w:val="13"/>
              </w:numPr>
              <w:spacing w:after="120"/>
              <w:ind w:left="629" w:hanging="357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Nepostojanje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 w:rsidR="001B0B5D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dobro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organizovanog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vaterpolo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kluba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Nikšiću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dovodi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do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toga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da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djeca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mladi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nemaju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mogućnost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da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se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bave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ovim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sportom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što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rezultira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smanjenom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sportskom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aktivnošću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ograničenim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izborom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kvalitetnih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bezbjednih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fizičkih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sadržaja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.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Time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se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dodatno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produbljuje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problem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nedovoljne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fizičke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aktivnosti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slabije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promocije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zdravih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stilova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života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lokalnoj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zajednici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.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Bez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takmičarskog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trenažnog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sistema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talentovani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sportisti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iz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Nikšića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gube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priliku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razvoj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napredovanje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uključivanje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nacionalne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međunarodne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selekcije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što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dugoročno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utiče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na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slabljenje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sportskog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potencijala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grada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.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Neafirmisani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ostaju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lokalni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sportski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stručnjaci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koji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nemaju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mogućnost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profesionalnog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angažovanja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oblasti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vodenih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sportova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.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Takođe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neorganizovanje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vaterpolo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programa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manifestacija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ograničava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sportski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turistički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potencijal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Nikšića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kao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upotrebu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postojećih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bazenskih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kapaciteta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koji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ostaju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djelimično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neiskorišćeni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.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Sve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ovo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zajedno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usporava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razvoj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sportskog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života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grada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umanjuje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mogućnost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afirmacije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Nikšića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na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sportskom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planu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.</w:t>
            </w:r>
          </w:p>
          <w:p w14:paraId="20DFF343" w14:textId="010F00A9" w:rsidR="000E0201" w:rsidRPr="00A30024" w:rsidRDefault="00A30024" w:rsidP="00AF54B2">
            <w:pPr>
              <w:numPr>
                <w:ilvl w:val="0"/>
                <w:numId w:val="13"/>
              </w:numPr>
              <w:spacing w:after="120"/>
              <w:ind w:left="629" w:hanging="357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Nepostojanje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 w:rsidR="001B0B5D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dobro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organizovanog</w:t>
            </w:r>
            <w:r w:rsidR="0078490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vaterpolo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kluba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Nikšiću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negativno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utiče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na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djecu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mlade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sportske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radnike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oba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pola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ali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se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efekti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manifestuju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na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različite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načine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.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Muškarci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su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tradicionalno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brojniji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vaterpolu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kao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sportu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pa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izostanak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 w:rsidR="001B0B5D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dobro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organizovanog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kluba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posebno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utiče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na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dječake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mladiće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koji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nemaju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mogućnost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da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se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uključe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treninge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takmičenja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razvoj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sportskih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karijera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čime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se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smanjuju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njihove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šanse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napredovanje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ovom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sportu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otežava</w:t>
            </w:r>
            <w:r w:rsidR="0078490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im</w:t>
            </w:r>
            <w:r w:rsidR="0078490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se</w:t>
            </w:r>
            <w:r w:rsidR="00AF54B2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profesionalna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afirmacija</w:t>
            </w:r>
            <w:r w:rsidR="001B0B5D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.</w:t>
            </w:r>
            <w:r w:rsidR="00AF54B2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druge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strane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iako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je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učešće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djevojčica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žena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vaterpolu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Crnoj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Gori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razvoju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nepostojanje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dobro</w:t>
            </w:r>
            <w:r w:rsidR="00AF54B2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organizovanog</w:t>
            </w:r>
            <w:r w:rsidR="00AF54B2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vaterpolo</w:t>
            </w:r>
            <w:r w:rsidR="00AF54B2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kluba</w:t>
            </w:r>
            <w:r w:rsidR="00AF54B2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Nikšiću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dodatno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ograničava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njihovu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vidljivost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pristup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sportu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koji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bi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mogao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dodatno</w:t>
            </w:r>
            <w:r w:rsidR="00B34FA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doprinijeti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rodnoj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ravnopravnosti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sportu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;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time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se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propušta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prilika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povećanje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učešća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žena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manje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zastupljenim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sportskim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disciplinama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.</w:t>
            </w:r>
          </w:p>
          <w:p w14:paraId="71849AE1" w14:textId="3BBE1733" w:rsidR="000E0201" w:rsidRPr="00A30024" w:rsidRDefault="00A30024" w:rsidP="000E0201">
            <w:pPr>
              <w:numPr>
                <w:ilvl w:val="0"/>
                <w:numId w:val="13"/>
              </w:numP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Oštećeni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su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sportski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stručnjaci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oba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pola</w:t>
            </w:r>
            <w:r w:rsidR="00891C9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: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treneri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instruktori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sportski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pedagozi</w:t>
            </w:r>
            <w:r w:rsidR="00891C9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,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koji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nemaju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mogućnost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profesionalnog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angažovanja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okviru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vaterpolo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programa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.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Lokalna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zajednica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cjelini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takođe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trpi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posledice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jer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se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smanjuje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broj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dostupnih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sportskih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sadržaja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što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utiče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na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sve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građane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bez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obzira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na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pol</w:t>
            </w:r>
            <w:r w:rsidR="000E020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.</w:t>
            </w:r>
          </w:p>
          <w:p w14:paraId="5D1CFE35" w14:textId="010B933F" w:rsidR="008647D8" w:rsidRPr="00A30024" w:rsidRDefault="00A30024" w:rsidP="000A7C68">
            <w:pPr>
              <w:numPr>
                <w:ilvl w:val="0"/>
                <w:numId w:val="13"/>
              </w:numPr>
              <w:spacing w:before="120"/>
              <w:ind w:left="629" w:hanging="357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Ukoliko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se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ne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donese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Odluka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osnivanju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Vaterpolo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kluba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„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Sutjeska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“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Nikšić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(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status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qu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”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opcija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),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postojeći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problemi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bi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se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vremenom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dodatno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produbljivali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.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Djeca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mladi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bi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dalje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bili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uskraćeni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mogućnost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bavljenja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vaterpolom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strukturiranim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vodenim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sportovima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čime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bi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se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nastavio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trend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nedovoljne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fizičke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aktivnosti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smanjene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uključenosti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zdrav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način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života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.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Talentovani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pojedinci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ne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bi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imali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uslove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sportski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razvoj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što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bi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dugoročno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značilo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trajno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gubljenje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potencijala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da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Nikšić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iznjedri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vrhunske</w:t>
            </w:r>
            <w:r w:rsidR="00307643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vaterpolo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sportiste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.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Postojeći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bazenski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kapaciteti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ostali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bi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djelimično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neiskorišćeni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što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bi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uticalo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na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smanjenu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opravdanost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budućih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infrastrukturnih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ulaganja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.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Lokalni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sportski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kadrovi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dalje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ne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bi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imali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mogućnost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profesionalnog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angažovanja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ovoj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oblasti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dok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bi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ukupna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ponuda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sportskih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sadržaja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gradu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ostala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ograničena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.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Na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kraju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izostanak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organizovanih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sportskih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manifestacija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aktivnosti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vezanih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vodene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sportove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doveo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bi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do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daljeg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smanjenja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sportskog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promocionog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potencijala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grada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čime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bi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Nikšić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ostao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na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marginama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razvoja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jedne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od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najtrofejnijih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sportskih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disciplina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Crnoj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Gori</w:t>
            </w:r>
            <w:r w:rsidR="008647D8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.</w:t>
            </w:r>
          </w:p>
          <w:p w14:paraId="7B23DD60" w14:textId="45EE2C0E" w:rsidR="008647D8" w:rsidRPr="00A30024" w:rsidRDefault="008647D8" w:rsidP="00307643">
            <w:pPr>
              <w:spacing w:before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</w:p>
        </w:tc>
      </w:tr>
      <w:tr w:rsidR="0057749B" w:rsidRPr="00A30024" w14:paraId="7B23DD65" w14:textId="77777777" w:rsidTr="000F05ED">
        <w:tc>
          <w:tcPr>
            <w:tcW w:w="9576" w:type="dxa"/>
            <w:gridSpan w:val="2"/>
            <w:shd w:val="clear" w:color="auto" w:fill="D2EAF1"/>
          </w:tcPr>
          <w:p w14:paraId="7B23DD62" w14:textId="6602AB77" w:rsidR="0057749B" w:rsidRPr="00A30024" w:rsidRDefault="0057749B" w:rsidP="000F05E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lastRenderedPageBreak/>
              <w:t xml:space="preserve">2. </w:t>
            </w:r>
            <w:r w:rsid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Ciljevi</w:t>
            </w:r>
          </w:p>
          <w:p w14:paraId="7B23DD63" w14:textId="3F603F32" w:rsidR="0057749B" w:rsidRPr="00A30024" w:rsidRDefault="00A30024" w:rsidP="000F05E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Koji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ciljevi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postižu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predloženim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propisom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?</w:t>
            </w:r>
          </w:p>
          <w:p w14:paraId="7B23DD64" w14:textId="00F54470" w:rsidR="0057749B" w:rsidRPr="00A30024" w:rsidRDefault="00A30024" w:rsidP="00AE5F4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li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bilo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koji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od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ciljeva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unapređuje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rodnu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ravnopravnost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? (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ako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je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odgovor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li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može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definisati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cilj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koji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unapređuje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rodnu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ravnopravnost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?)</w:t>
            </w:r>
          </w:p>
        </w:tc>
      </w:tr>
      <w:tr w:rsidR="0057749B" w:rsidRPr="00A30024" w14:paraId="7B23DD69" w14:textId="77777777" w:rsidTr="000F05ED">
        <w:tc>
          <w:tcPr>
            <w:tcW w:w="9576" w:type="dxa"/>
            <w:gridSpan w:val="2"/>
          </w:tcPr>
          <w:p w14:paraId="7B23DD66" w14:textId="1706823D" w:rsidR="008230BF" w:rsidRDefault="00A30024" w:rsidP="00FA0F8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Predložena</w:t>
            </w:r>
            <w:r w:rsidR="0041048E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odluka</w:t>
            </w:r>
            <w:r w:rsidR="0041048E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treba</w:t>
            </w:r>
            <w:r w:rsidR="0041048E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da</w:t>
            </w:r>
            <w:r w:rsidR="0041048E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unaprijedi</w:t>
            </w:r>
            <w:r w:rsidR="0041048E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sportski</w:t>
            </w:r>
            <w:r w:rsidR="0041048E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život</w:t>
            </w:r>
            <w:r w:rsidR="0041048E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</w:t>
            </w:r>
            <w:r w:rsidR="0041048E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gradu</w:t>
            </w:r>
            <w:r w:rsidR="0041048E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kroz</w:t>
            </w:r>
            <w:r w:rsidR="0041048E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razvoj</w:t>
            </w:r>
            <w:r w:rsidR="0041048E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vaterpola</w:t>
            </w:r>
            <w:r w:rsidR="0041048E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veće</w:t>
            </w:r>
            <w:r w:rsidR="0041048E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uključivanje</w:t>
            </w:r>
            <w:r w:rsidR="0041048E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djece</w:t>
            </w:r>
            <w:r w:rsidR="0041048E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41048E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mladih</w:t>
            </w:r>
            <w:r w:rsidR="0041048E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</w:t>
            </w:r>
            <w:r w:rsidR="0041048E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kvalitetne</w:t>
            </w:r>
            <w:r w:rsidR="0041048E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41048E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zdrave</w:t>
            </w:r>
            <w:r w:rsidR="0041048E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fizičke</w:t>
            </w:r>
            <w:r w:rsidR="0041048E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aktivnosti</w:t>
            </w:r>
            <w:r w:rsidR="0041048E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stvaranje</w:t>
            </w:r>
            <w:r w:rsidR="0041048E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uslova</w:t>
            </w:r>
            <w:r w:rsidR="0041048E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</w:t>
            </w:r>
            <w:r w:rsidR="0041048E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razvoj</w:t>
            </w:r>
            <w:r w:rsidR="0041048E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sportskih</w:t>
            </w:r>
            <w:r w:rsidR="0041048E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talenata</w:t>
            </w:r>
            <w:r w:rsidR="0041048E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popularizaciju</w:t>
            </w:r>
            <w:r w:rsidR="0041048E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vodenih</w:t>
            </w:r>
            <w:r w:rsidR="0041048E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sportova</w:t>
            </w:r>
            <w:r w:rsidR="0041048E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41048E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efikasnije</w:t>
            </w:r>
            <w:r w:rsidR="0041048E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korišćenje</w:t>
            </w:r>
            <w:r w:rsidR="0041048E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postojeće</w:t>
            </w:r>
            <w:r w:rsidR="0041048E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infrastrukture</w:t>
            </w:r>
            <w:r w:rsidR="0041048E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afirmaciju</w:t>
            </w:r>
            <w:r w:rsidR="0041048E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lokalnih</w:t>
            </w:r>
            <w:r w:rsidR="0041048E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sportskih</w:t>
            </w:r>
            <w:r w:rsidR="0041048E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stručnjaka</w:t>
            </w:r>
            <w:r w:rsidR="0041048E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jačanje</w:t>
            </w:r>
            <w:r w:rsidR="0041048E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sportskog</w:t>
            </w:r>
            <w:r w:rsidR="0041048E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imidža</w:t>
            </w:r>
            <w:r w:rsidR="0041048E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41048E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turističkog</w:t>
            </w:r>
            <w:r w:rsidR="0041048E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potencijala</w:t>
            </w:r>
            <w:r w:rsidR="0041048E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Nikšića</w:t>
            </w:r>
            <w:r w:rsidR="0041048E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kao</w:t>
            </w:r>
            <w:r w:rsidR="00C93F7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41048E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podsticanje</w:t>
            </w:r>
            <w:r w:rsidR="0041048E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jednakih</w:t>
            </w:r>
            <w:r w:rsidR="0041048E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mogućnosti</w:t>
            </w:r>
            <w:r w:rsidR="0041048E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</w:t>
            </w:r>
            <w:r w:rsidR="0041048E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učešće</w:t>
            </w:r>
            <w:r w:rsidR="0041048E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dječaka</w:t>
            </w:r>
            <w:r w:rsidR="0041048E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41048E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djevojčica</w:t>
            </w:r>
            <w:r w:rsidR="0041048E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</w:t>
            </w:r>
            <w:r w:rsidR="0041048E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vaterpolo</w:t>
            </w:r>
            <w:r w:rsidR="007301F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sportu</w:t>
            </w:r>
            <w:r w:rsidR="0041048E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.</w:t>
            </w:r>
          </w:p>
          <w:p w14:paraId="102D2075" w14:textId="77777777" w:rsidR="0098036D" w:rsidRPr="00A30024" w:rsidRDefault="0098036D" w:rsidP="0098036D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63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</w:p>
          <w:p w14:paraId="7B23DD68" w14:textId="3B1D375E" w:rsidR="0057749B" w:rsidRPr="00A30024" w:rsidRDefault="00A30024" w:rsidP="00755B6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Cilj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koji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unapređuje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rodnu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ravnopravnost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„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leži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“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samoj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jednakosti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primjene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ovog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propisa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oba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pola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odnosno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roda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.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Predloženom</w:t>
            </w:r>
            <w:r w:rsidR="007301F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odlukom</w:t>
            </w:r>
            <w:r w:rsidR="007301F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stvaraju</w:t>
            </w:r>
            <w:r w:rsidR="007301F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se</w:t>
            </w:r>
            <w:r w:rsidR="007301F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jednaki</w:t>
            </w:r>
            <w:r w:rsidR="007301F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uslovi</w:t>
            </w:r>
            <w:r w:rsidR="007301F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</w:t>
            </w:r>
            <w:r w:rsidR="007301F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učešće</w:t>
            </w:r>
            <w:r w:rsidR="007301F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dječaka</w:t>
            </w:r>
            <w:r w:rsidR="007301F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7301F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djevojčica</w:t>
            </w:r>
            <w:r w:rsidR="007301F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</w:t>
            </w:r>
            <w:r w:rsidR="007301F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vaterpolu</w:t>
            </w:r>
            <w:r w:rsidR="007301F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čime</w:t>
            </w:r>
            <w:r w:rsidR="007301F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se</w:t>
            </w:r>
            <w:r w:rsidR="007301F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unapređuje</w:t>
            </w:r>
            <w:r w:rsidR="007301F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pristup</w:t>
            </w:r>
            <w:r w:rsidR="007301F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sportskim</w:t>
            </w:r>
            <w:r w:rsidR="007301F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aktivnostima</w:t>
            </w:r>
            <w:r w:rsidR="007301F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</w:t>
            </w:r>
            <w:r w:rsidR="007301F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oba</w:t>
            </w:r>
            <w:r w:rsidR="007301F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pola</w:t>
            </w:r>
            <w:r w:rsidR="007301F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.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Klub</w:t>
            </w:r>
            <w:r w:rsidR="007301F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će</w:t>
            </w:r>
            <w:r w:rsidR="007301F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omogućiti</w:t>
            </w:r>
            <w:r w:rsidR="007301F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djevojčicama</w:t>
            </w:r>
            <w:r w:rsidR="007301F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7301F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ženama</w:t>
            </w:r>
            <w:r w:rsidR="007301F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da</w:t>
            </w:r>
            <w:r w:rsidR="007301F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se</w:t>
            </w:r>
            <w:r w:rsidR="007301F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uključe</w:t>
            </w:r>
            <w:r w:rsidR="007301F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</w:t>
            </w:r>
            <w:r w:rsidR="007301F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sportsku</w:t>
            </w:r>
            <w:r w:rsidR="007301F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disciplinu</w:t>
            </w:r>
            <w:r w:rsidR="007301F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</w:t>
            </w:r>
            <w:r w:rsidR="007301F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kojoj</w:t>
            </w:r>
            <w:r w:rsidR="007301F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su</w:t>
            </w:r>
            <w:r w:rsidR="007301F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tradicionalno</w:t>
            </w:r>
            <w:r w:rsidR="007301F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nedovoljno</w:t>
            </w:r>
            <w:r w:rsidR="007301F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zastupljene</w:t>
            </w:r>
            <w:r w:rsidR="007301F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što</w:t>
            </w:r>
            <w:r w:rsidR="007301F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doprinosi</w:t>
            </w:r>
            <w:r w:rsidR="007301F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smanjenju</w:t>
            </w:r>
            <w:r w:rsidR="007301F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rodnih</w:t>
            </w:r>
            <w:r w:rsidR="007301F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stereotipa</w:t>
            </w:r>
            <w:r w:rsidR="007301F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7301F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povećanju</w:t>
            </w:r>
            <w:r w:rsidR="007301F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zastupljenosti</w:t>
            </w:r>
            <w:r w:rsidR="00F0021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žena</w:t>
            </w:r>
            <w:r w:rsidR="00F0021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</w:t>
            </w:r>
            <w:r w:rsidR="00F0021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vaterpolo</w:t>
            </w:r>
            <w:r w:rsidR="00F0021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sportu</w:t>
            </w:r>
            <w:r w:rsidR="00F0021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.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Takođe</w:t>
            </w:r>
            <w:r w:rsidR="00F0021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stvaraju</w:t>
            </w:r>
            <w:r w:rsidR="00F0021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se</w:t>
            </w:r>
            <w:r w:rsidR="00F0021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mogućnosti</w:t>
            </w:r>
            <w:r w:rsidR="00F0021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</w:t>
            </w:r>
            <w:r w:rsidR="00F0021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angažovanje</w:t>
            </w:r>
            <w:r w:rsidR="00F0021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vaterpolo</w:t>
            </w:r>
            <w:r w:rsidR="00F0021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stručnjakinja</w:t>
            </w:r>
            <w:r w:rsidR="00F0021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(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trenerica</w:t>
            </w:r>
            <w:r w:rsidR="00F0021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instruktorki</w:t>
            </w:r>
            <w:r w:rsidR="00F0021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itd</w:t>
            </w:r>
            <w:r w:rsidR="00F0021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),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čime</w:t>
            </w:r>
            <w:r w:rsidR="00F0021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se</w:t>
            </w:r>
            <w:r w:rsidR="00F0021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unapređuje</w:t>
            </w:r>
            <w:r w:rsidR="00F0021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rodna</w:t>
            </w:r>
            <w:r w:rsidR="00F0021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ravnoteža</w:t>
            </w:r>
            <w:r w:rsidR="00F0021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</w:t>
            </w:r>
            <w:r w:rsidR="00F0021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vaterpolo</w:t>
            </w:r>
            <w:r w:rsidR="00F0021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sportu</w:t>
            </w:r>
            <w:r w:rsidR="00F0021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na</w:t>
            </w:r>
            <w:r w:rsidR="00F0021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lokalnom</w:t>
            </w:r>
            <w:r w:rsidR="00F0021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nivou</w:t>
            </w:r>
            <w:r w:rsidR="00F0021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.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Stoga</w:t>
            </w:r>
            <w:r w:rsidR="00F0021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predložena</w:t>
            </w:r>
            <w:r w:rsidR="00F0021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odluka</w:t>
            </w:r>
            <w:r w:rsidR="00F0021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ima</w:t>
            </w:r>
            <w:r w:rsidR="00F0021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jasan</w:t>
            </w:r>
            <w:r w:rsidR="00F0021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F0021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pretežno</w:t>
            </w:r>
            <w:r w:rsidR="00F0021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pozitivan</w:t>
            </w:r>
            <w:r w:rsidR="00F0021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rodni</w:t>
            </w:r>
            <w:r w:rsidR="00F0021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uticaj</w:t>
            </w:r>
            <w:r w:rsidR="00F0021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.</w:t>
            </w:r>
          </w:p>
        </w:tc>
      </w:tr>
      <w:tr w:rsidR="0057749B" w:rsidRPr="00430934" w14:paraId="7B23DD6D" w14:textId="77777777" w:rsidTr="000F05ED">
        <w:tc>
          <w:tcPr>
            <w:tcW w:w="9576" w:type="dxa"/>
            <w:gridSpan w:val="2"/>
            <w:shd w:val="clear" w:color="auto" w:fill="D2EAF1"/>
          </w:tcPr>
          <w:p w14:paraId="7B23DD6A" w14:textId="402B4CFA" w:rsidR="0057749B" w:rsidRPr="00A30024" w:rsidRDefault="0057749B" w:rsidP="000F05E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lastRenderedPageBreak/>
              <w:t xml:space="preserve">3. </w:t>
            </w:r>
            <w:r w:rsid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Opcije</w:t>
            </w:r>
          </w:p>
          <w:p w14:paraId="7B23DD6B" w14:textId="6B9422F3" w:rsidR="0057749B" w:rsidRPr="00A30024" w:rsidRDefault="00A30024" w:rsidP="000F05E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Zašto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je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propis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neophodan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? -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Koje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moguće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opcije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ispunjavanje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ciljeva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rješavanje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problema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? (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uvijek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treba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razmatrati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“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status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q</w:t>
            </w:r>
            <w:r w:rsidR="00836AA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”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opciju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preporučljivo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je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uključiti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neregulatornu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opciju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osim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ako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postoji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obaveza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donošenja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predloženog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propisa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).</w:t>
            </w:r>
          </w:p>
          <w:p w14:paraId="2E42EBDE" w14:textId="77777777" w:rsidR="0057749B" w:rsidRDefault="00A30024" w:rsidP="000F05E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Obrazložiti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preferiranu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opciju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? (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koja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je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rodna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dimenzija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te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opcije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;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kako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preferirana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opcija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unapređuje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rodnu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ravnopravnost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: 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status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žena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odnose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među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ženama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muškarcima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?)</w:t>
            </w:r>
          </w:p>
          <w:p w14:paraId="7B23DD6C" w14:textId="5B3339AC" w:rsidR="0098036D" w:rsidRPr="00A30024" w:rsidRDefault="0098036D" w:rsidP="0098036D">
            <w:pPr>
              <w:pStyle w:val="ListParagraph"/>
              <w:autoSpaceDE w:val="0"/>
              <w:autoSpaceDN w:val="0"/>
              <w:adjustRightInd w:val="0"/>
              <w:ind w:left="630"/>
              <w:contextualSpacing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</w:p>
        </w:tc>
      </w:tr>
      <w:tr w:rsidR="0057749B" w:rsidRPr="00430934" w14:paraId="7B23DD71" w14:textId="77777777" w:rsidTr="000F05ED">
        <w:tc>
          <w:tcPr>
            <w:tcW w:w="9576" w:type="dxa"/>
            <w:gridSpan w:val="2"/>
          </w:tcPr>
          <w:p w14:paraId="294BA95B" w14:textId="77777777" w:rsidR="00AE7830" w:rsidRPr="00A30024" w:rsidRDefault="00AE7830" w:rsidP="00AE7830">
            <w:pPr>
              <w:ind w:left="63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</w:p>
          <w:p w14:paraId="7B23DD6E" w14:textId="585F6270" w:rsidR="00755B66" w:rsidRPr="00A30024" w:rsidRDefault="00A30024" w:rsidP="00E66260">
            <w:pPr>
              <w:numPr>
                <w:ilvl w:val="0"/>
                <w:numId w:val="13"/>
              </w:numP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Kao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što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je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već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navedeno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predložena</w:t>
            </w:r>
            <w:r w:rsidR="00E66260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odluka</w:t>
            </w:r>
            <w:r w:rsidR="00E66260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je</w:t>
            </w:r>
            <w:r w:rsidR="00E66260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neophodna</w:t>
            </w:r>
            <w:r w:rsidR="00E66260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da</w:t>
            </w:r>
            <w:r w:rsidR="00E66260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bi</w:t>
            </w:r>
            <w:r w:rsidR="00E66260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se</w:t>
            </w:r>
            <w:r w:rsidR="00E66260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unaprijedio</w:t>
            </w:r>
            <w:r w:rsidR="00E66260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sportski</w:t>
            </w:r>
            <w:r w:rsidR="00E66260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život</w:t>
            </w:r>
            <w:r w:rsidR="00E66260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</w:t>
            </w:r>
            <w:r w:rsidR="00E66260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gradu</w:t>
            </w:r>
            <w:r w:rsidR="00E66260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kroz</w:t>
            </w:r>
            <w:r w:rsidR="00E66260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razvoj</w:t>
            </w:r>
            <w:r w:rsidR="00E66260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vaterpola</w:t>
            </w:r>
            <w:r w:rsidR="00E66260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veće</w:t>
            </w:r>
            <w:r w:rsidR="00E66260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uključivanje</w:t>
            </w:r>
            <w:r w:rsidR="00E66260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djece</w:t>
            </w:r>
            <w:r w:rsidR="00E66260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E66260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mladih</w:t>
            </w:r>
            <w:r w:rsidR="00E66260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</w:t>
            </w:r>
            <w:r w:rsidR="00E66260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kvalitetne</w:t>
            </w:r>
            <w:r w:rsidR="00E66260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E66260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zdrave</w:t>
            </w:r>
            <w:r w:rsidR="00E66260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fizičke</w:t>
            </w:r>
            <w:r w:rsidR="00E66260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aktivnosti</w:t>
            </w:r>
            <w:r w:rsidR="00E66260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stvaranje</w:t>
            </w:r>
            <w:r w:rsidR="00E66260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uslova</w:t>
            </w:r>
            <w:r w:rsidR="00E66260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</w:t>
            </w:r>
            <w:r w:rsidR="00E66260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razvoj</w:t>
            </w:r>
            <w:r w:rsidR="00E66260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sportskih</w:t>
            </w:r>
            <w:r w:rsidR="00E66260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talenata</w:t>
            </w:r>
            <w:r w:rsidR="00E66260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popularizaciju</w:t>
            </w:r>
            <w:r w:rsidR="00E66260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vodenih</w:t>
            </w:r>
            <w:r w:rsidR="00E66260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sportova</w:t>
            </w:r>
            <w:r w:rsidR="00C93F7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,</w:t>
            </w:r>
            <w:r w:rsidR="00E66260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efikasnije</w:t>
            </w:r>
            <w:r w:rsidR="00E66260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korišćenje</w:t>
            </w:r>
            <w:r w:rsidR="00E66260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postojeće</w:t>
            </w:r>
            <w:r w:rsidR="00E66260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infrastrukture</w:t>
            </w:r>
            <w:r w:rsidR="00E66260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afirmaciju</w:t>
            </w:r>
            <w:r w:rsidR="00E66260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lokalnih</w:t>
            </w:r>
            <w:r w:rsidR="00E66260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sportskih</w:t>
            </w:r>
            <w:r w:rsidR="00E66260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stručnjaka</w:t>
            </w:r>
            <w:r w:rsidR="00E66260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jačanje</w:t>
            </w:r>
            <w:r w:rsidR="00E66260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turističkog</w:t>
            </w:r>
            <w:r w:rsidR="00E66260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potencijala</w:t>
            </w:r>
            <w:r w:rsidR="00E66260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Nikšića</w:t>
            </w:r>
            <w:r w:rsidR="00E66260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kao</w:t>
            </w:r>
            <w:r w:rsidR="00C93F7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E66260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podsticanje</w:t>
            </w:r>
            <w:r w:rsidR="00E66260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jednakih</w:t>
            </w:r>
            <w:r w:rsidR="00E66260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mogućnosti</w:t>
            </w:r>
            <w:r w:rsidR="00E66260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</w:t>
            </w:r>
            <w:r w:rsidR="00E66260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učešće</w:t>
            </w:r>
            <w:r w:rsidR="00E66260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dječaka</w:t>
            </w:r>
            <w:r w:rsidR="00E66260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E66260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djevojčica</w:t>
            </w:r>
            <w:r w:rsidR="00E66260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</w:t>
            </w:r>
            <w:r w:rsidR="00E66260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vaterpolo</w:t>
            </w:r>
            <w:r w:rsidR="00E66260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sportu</w:t>
            </w:r>
            <w:r w:rsidR="00E66260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.</w:t>
            </w:r>
          </w:p>
          <w:p w14:paraId="7B23DD6F" w14:textId="4099413D" w:rsidR="0057749B" w:rsidRPr="00A30024" w:rsidRDefault="00A30024" w:rsidP="00703364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ispunjavanje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postavljenih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ciljeva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nije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moguća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“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status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q</w:t>
            </w:r>
            <w:r w:rsidR="00836AA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”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opcija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.</w:t>
            </w:r>
          </w:p>
          <w:p w14:paraId="7B23DD70" w14:textId="10239BE7" w:rsidR="0057749B" w:rsidRPr="00A30024" w:rsidRDefault="00A30024" w:rsidP="00765B1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Ovom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odlukom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stavljeni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ravnopravan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položaj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muškarci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žene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.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Tačnije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predloženom</w:t>
            </w:r>
            <w:r w:rsidR="00E66260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odlukom</w:t>
            </w:r>
            <w:r w:rsidR="00E66260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stvaraju</w:t>
            </w:r>
            <w:r w:rsidR="00E66260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se</w:t>
            </w:r>
            <w:r w:rsidR="00E66260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jednaki</w:t>
            </w:r>
            <w:r w:rsidR="00E66260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uslovi</w:t>
            </w:r>
            <w:r w:rsidR="00E66260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</w:t>
            </w:r>
            <w:r w:rsidR="00E66260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učešće</w:t>
            </w:r>
            <w:r w:rsidR="00E66260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dječaka</w:t>
            </w:r>
            <w:r w:rsidR="00E66260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E66260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djevojčica</w:t>
            </w:r>
            <w:r w:rsidR="00E66260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</w:t>
            </w:r>
            <w:r w:rsidR="00E66260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vaterpolo</w:t>
            </w:r>
            <w:r w:rsidR="00E66260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sportu</w:t>
            </w:r>
            <w:r w:rsidR="00E66260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čime</w:t>
            </w:r>
            <w:r w:rsidR="00E66260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se</w:t>
            </w:r>
            <w:r w:rsidR="00E66260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unapređuje</w:t>
            </w:r>
            <w:r w:rsidR="00E66260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pristup</w:t>
            </w:r>
            <w:r w:rsidR="00E66260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sportskim</w:t>
            </w:r>
            <w:r w:rsidR="00E66260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aktivnostima</w:t>
            </w:r>
            <w:r w:rsidR="00E66260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</w:t>
            </w:r>
            <w:r w:rsidR="00E66260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oba</w:t>
            </w:r>
            <w:r w:rsidR="00E66260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pola</w:t>
            </w:r>
            <w:r w:rsidR="00E66260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.</w:t>
            </w:r>
          </w:p>
        </w:tc>
      </w:tr>
      <w:tr w:rsidR="0057749B" w:rsidRPr="00A30024" w14:paraId="7B23DD79" w14:textId="77777777" w:rsidTr="000F05ED">
        <w:tc>
          <w:tcPr>
            <w:tcW w:w="9576" w:type="dxa"/>
            <w:gridSpan w:val="2"/>
            <w:shd w:val="clear" w:color="auto" w:fill="D2EAF1"/>
          </w:tcPr>
          <w:p w14:paraId="7B23DD72" w14:textId="620D7D00" w:rsidR="0057749B" w:rsidRPr="00A30024" w:rsidRDefault="0057749B" w:rsidP="009A166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4. </w:t>
            </w:r>
            <w:r w:rsid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Analiza</w:t>
            </w:r>
            <w:r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 w:rsid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uticaja</w:t>
            </w:r>
          </w:p>
          <w:p w14:paraId="7B23DD73" w14:textId="0A24776B" w:rsidR="0057749B" w:rsidRPr="00A30024" w:rsidRDefault="00A30024" w:rsidP="000F05E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koga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će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kako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će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najvjerovatnije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uticati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rješenja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propisu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-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nabrojati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pozitivne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negativne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uticaje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direktne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indirektne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?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li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rješenja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propisu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imaju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uticaj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žene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(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pozitivne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negativne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direktne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indirektne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?)</w:t>
            </w:r>
          </w:p>
          <w:p w14:paraId="7B23DD74" w14:textId="672C0AC5" w:rsidR="0057749B" w:rsidRPr="00A30024" w:rsidRDefault="00A30024" w:rsidP="000F05E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Koje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troškove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ili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uštede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će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primjena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propisa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izazvati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građanima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privredi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(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naročito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malim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srednjim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preduzećima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)?</w:t>
            </w:r>
          </w:p>
          <w:p w14:paraId="7B23DD75" w14:textId="2E6AC52B" w:rsidR="0057749B" w:rsidRPr="00A30024" w:rsidRDefault="00A30024" w:rsidP="000F05E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li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pozitivne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posljedice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donošenja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propisa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opravdavaju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troškove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koje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će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on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stvoriti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?</w:t>
            </w:r>
          </w:p>
          <w:p w14:paraId="7B23DD76" w14:textId="6E8F0B0B" w:rsidR="0057749B" w:rsidRPr="00A30024" w:rsidRDefault="00A30024" w:rsidP="000F05E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li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propisom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podržava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stvaranje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novih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privrednih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subjekata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tržištu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tržišna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konkurencija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?</w:t>
            </w:r>
          </w:p>
          <w:p w14:paraId="7B23DD77" w14:textId="31DA965B" w:rsidR="0057749B" w:rsidRPr="00A30024" w:rsidRDefault="00A30024" w:rsidP="000F05E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Uključiti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procjenu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administrativnih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opterećenja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biznis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barijera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.</w:t>
            </w:r>
          </w:p>
          <w:p w14:paraId="7B23DD78" w14:textId="77777777" w:rsidR="0057749B" w:rsidRPr="00A30024" w:rsidRDefault="0057749B" w:rsidP="000F05ED">
            <w:pPr>
              <w:pStyle w:val="ListParagraph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</w:p>
        </w:tc>
      </w:tr>
      <w:tr w:rsidR="0057749B" w:rsidRPr="00A30024" w14:paraId="7B23DD81" w14:textId="77777777" w:rsidTr="000F05ED">
        <w:tc>
          <w:tcPr>
            <w:tcW w:w="9576" w:type="dxa"/>
            <w:gridSpan w:val="2"/>
          </w:tcPr>
          <w:p w14:paraId="356DD2F5" w14:textId="5B1136C7" w:rsidR="00C93864" w:rsidRPr="00A30024" w:rsidRDefault="00A30024" w:rsidP="00C9386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Osnivanje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Vaterpolo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kluba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„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Sutjeska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“ </w:t>
            </w:r>
            <w:r w:rsidR="00EF53B5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Nikšić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direktno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će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pozitivno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uticati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na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djecu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mlade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oba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pola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omogućavajući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im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pristup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organizovanim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treninzima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takmičenjima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kvalitetnim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sportskim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programima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čime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se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unapređuje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fizička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aktivnost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zdrav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način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života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razvoj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sportskih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talenata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.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Direktan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pozitivan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uticaj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imaće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lokalni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sportski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stručnjaci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koji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će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dobiti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mogućnost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profesionalnog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angažovanja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kao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treneri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instruktori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.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Indirektno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pozitivno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će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uticati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na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lokalnu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zajednicu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kroz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povećanje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sportske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ponude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bolje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korišćenje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bazenskih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kapaciteta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organizovanje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sportskih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manifestacija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unapređenje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turističkog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sportskog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imidža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grada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.</w:t>
            </w:r>
          </w:p>
          <w:p w14:paraId="171BDAD0" w14:textId="408DA021" w:rsidR="00C93864" w:rsidRPr="00A30024" w:rsidRDefault="00A30024" w:rsidP="00C93864">
            <w:pPr>
              <w:pStyle w:val="ListParagraph"/>
              <w:autoSpaceDE w:val="0"/>
              <w:autoSpaceDN w:val="0"/>
              <w:adjustRightInd w:val="0"/>
              <w:spacing w:before="120"/>
              <w:ind w:left="63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Negativni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uticaji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su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uglavnom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indirektni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svode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se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na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finansijsko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opterećenje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grad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vidu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sredstava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potrebnih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osnivanje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 w:rsidR="00EF53B5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funcionisanje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Kluba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kao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na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moguću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potrebu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prilagođavanja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aktivnosti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subjekte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koji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su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se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ranije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rekreativno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bavili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sportom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neformalnim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uslovima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.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Ukupno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gledano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predložena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rješenja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donose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pozitivne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efekte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sve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uključene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subjekte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lokalnu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zajednicu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.</w:t>
            </w:r>
          </w:p>
          <w:p w14:paraId="0759E21F" w14:textId="36354B61" w:rsidR="00CD32F4" w:rsidRPr="00A30024" w:rsidRDefault="00A30024" w:rsidP="00C9386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Da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rješenja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propisu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imaju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uticaj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na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žene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to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na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više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nivoa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kako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pozitivno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tako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lastRenderedPageBreak/>
              <w:t>potencijalno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negativno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direktno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indirektno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. </w:t>
            </w:r>
          </w:p>
          <w:p w14:paraId="277A5363" w14:textId="37896053" w:rsidR="00C93864" w:rsidRPr="00A30024" w:rsidRDefault="00A30024" w:rsidP="00CD32F4">
            <w:pPr>
              <w:pStyle w:val="ListParagraph"/>
              <w:autoSpaceDE w:val="0"/>
              <w:autoSpaceDN w:val="0"/>
              <w:adjustRightInd w:val="0"/>
              <w:spacing w:before="120"/>
              <w:ind w:left="63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Osnivanje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Vaterpolo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kluba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„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Sutjeska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“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ima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pretežno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pozitivan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uticaj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na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žene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.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Direktno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omogućava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djevojčicama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mladim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ženama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pristup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organizovanim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treninzima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takmičenjima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čime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se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unapređuje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njihovo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učešće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sportu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stvara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ravnopravnost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odnosu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na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dječake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.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Indirektno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Klub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povećava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vidljivost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žena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sportu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doprinosi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smanjenju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rodnih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stereotipa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otvara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mogućnosti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profesionalno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angažovanje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trenerica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instruktorki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čime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se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unapređuje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rodna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ravnopravnost</w:t>
            </w:r>
            <w:r w:rsidR="00CD32F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vaterpolo</w:t>
            </w:r>
            <w:r w:rsidR="00CD32F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sportu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.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Negativni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uticaji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su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minimalni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uglavnom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indirektni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ogledaju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se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mogućim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privremenim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prilagođavanjima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rekreativnih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aktivnosti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žena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neformalnom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sportu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zbog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organizacionih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finansijskih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prilika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Kluba</w:t>
            </w:r>
            <w:r w:rsidR="00C9386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.</w:t>
            </w:r>
          </w:p>
          <w:p w14:paraId="23DB795E" w14:textId="35625B4E" w:rsidR="00CD32F4" w:rsidRPr="00A30024" w:rsidRDefault="00A30024" w:rsidP="00C6172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</w:t>
            </w:r>
            <w:r w:rsidR="00CD32F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osnivanje</w:t>
            </w:r>
            <w:r w:rsidR="00CD32F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CD32F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početak</w:t>
            </w:r>
            <w:r w:rsidR="00CD32F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rada</w:t>
            </w:r>
            <w:r w:rsidR="00CD32F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Kluba</w:t>
            </w:r>
            <w:r w:rsidR="00CD32F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budžetom</w:t>
            </w:r>
            <w:r w:rsidR="00CD32F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Opštine</w:t>
            </w:r>
            <w:r w:rsidR="00CD32F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Nikšić</w:t>
            </w:r>
            <w:r w:rsidR="00CD32F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</w:t>
            </w:r>
            <w:r w:rsidR="00CD32F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202</w:t>
            </w:r>
            <w:r w:rsidR="00990BF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6</w:t>
            </w:r>
            <w:r w:rsidR="00CD32F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.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godinu</w:t>
            </w:r>
            <w:r w:rsidR="00990BF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planirana</w:t>
            </w:r>
            <w:r w:rsidR="00EF53B5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su</w:t>
            </w:r>
            <w:r w:rsidR="00CD32F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novčana</w:t>
            </w:r>
            <w:r w:rsidR="00CD32F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sredstva</w:t>
            </w:r>
            <w:r w:rsidR="00CD32F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</w:t>
            </w:r>
            <w:r w:rsidR="00CD32F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iznosu</w:t>
            </w:r>
            <w:r w:rsidR="00CD32F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od</w:t>
            </w:r>
            <w:r w:rsidR="00CD32F4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10.000,00 EUR.</w:t>
            </w:r>
            <w:bookmarkStart w:id="0" w:name="_GoBack"/>
            <w:bookmarkEnd w:id="0"/>
          </w:p>
          <w:p w14:paraId="7B23DD7F" w14:textId="2C8B91D0" w:rsidR="0057749B" w:rsidRPr="00A30024" w:rsidRDefault="00A30024" w:rsidP="005604C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629" w:hanging="357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Pozitivne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posledice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donošenja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propisa</w:t>
            </w:r>
            <w:r w:rsidR="00DD304D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uključujući</w:t>
            </w:r>
            <w:r w:rsidR="00DD304D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unapređenje</w:t>
            </w:r>
            <w:r w:rsidR="00DD304D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zdravlja</w:t>
            </w:r>
            <w:r w:rsidR="00DD304D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DD304D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sportskih</w:t>
            </w:r>
            <w:r w:rsidR="00DD304D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aktivnosti</w:t>
            </w:r>
            <w:r w:rsidR="00DD304D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mladih</w:t>
            </w:r>
            <w:r w:rsidR="00DD304D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socijalnu</w:t>
            </w:r>
            <w:r w:rsidR="00DD304D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uključenost</w:t>
            </w:r>
            <w:r w:rsidR="00DD304D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ravnopravnost</w:t>
            </w:r>
            <w:r w:rsidR="00DD304D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polova</w:t>
            </w:r>
            <w:r w:rsidR="00DD304D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DD304D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razvoj</w:t>
            </w:r>
            <w:r w:rsidR="00DD304D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lokalne</w:t>
            </w:r>
            <w:r w:rsidR="00DD304D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infrastrukture</w:t>
            </w:r>
            <w:r w:rsidR="00DD304D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,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opravdavaju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troškove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koje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će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on</w:t>
            </w:r>
            <w:r w:rsidR="00DD304D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stvoriti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. </w:t>
            </w:r>
          </w:p>
          <w:p w14:paraId="68B86699" w14:textId="161DD40C" w:rsidR="0057749B" w:rsidRPr="00A30024" w:rsidRDefault="00A30024" w:rsidP="0081222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629" w:hanging="357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Propisom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podržava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stvaranje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novih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privrednih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subjekata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tržištu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tržišna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konkurencija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.</w:t>
            </w:r>
          </w:p>
          <w:p w14:paraId="7B23DD80" w14:textId="126C885F" w:rsidR="00CD32F4" w:rsidRPr="00A30024" w:rsidRDefault="00CD32F4" w:rsidP="00D72A8A">
            <w:pPr>
              <w:pStyle w:val="ListParagraph"/>
              <w:autoSpaceDE w:val="0"/>
              <w:autoSpaceDN w:val="0"/>
              <w:adjustRightInd w:val="0"/>
              <w:ind w:left="629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</w:p>
        </w:tc>
      </w:tr>
      <w:tr w:rsidR="0057749B" w:rsidRPr="00A30024" w14:paraId="7B23DD8B" w14:textId="77777777" w:rsidTr="000F05ED">
        <w:tc>
          <w:tcPr>
            <w:tcW w:w="9576" w:type="dxa"/>
            <w:gridSpan w:val="2"/>
            <w:shd w:val="clear" w:color="auto" w:fill="D2EAF1"/>
          </w:tcPr>
          <w:p w14:paraId="7B23DD82" w14:textId="77777777" w:rsidR="0057749B" w:rsidRPr="00A30024" w:rsidRDefault="0057749B" w:rsidP="000F05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</w:p>
          <w:p w14:paraId="7B23DD83" w14:textId="4510EDA5" w:rsidR="0057749B" w:rsidRPr="00A30024" w:rsidRDefault="0057749B" w:rsidP="00DB7DA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5. </w:t>
            </w:r>
            <w:r w:rsid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Procjena</w:t>
            </w:r>
            <w:r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 w:rsid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fiskalnog</w:t>
            </w:r>
            <w:r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 w:rsid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uticaja</w:t>
            </w:r>
          </w:p>
          <w:p w14:paraId="7B23DD84" w14:textId="27EFC904" w:rsidR="0057749B" w:rsidRPr="00A30024" w:rsidRDefault="00A30024" w:rsidP="000F05E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li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propis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utiče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visinu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prihoda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ili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troškova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lokalne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samouprave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?</w:t>
            </w:r>
          </w:p>
          <w:p w14:paraId="7B23DD85" w14:textId="50FA2184" w:rsidR="0057749B" w:rsidRPr="00A30024" w:rsidRDefault="00A30024" w:rsidP="000F05E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li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je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potrebno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obezbjeđenje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finansijskih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sredstava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iz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budžeta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lokalnih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samouprava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odnosno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budžeta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Crne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Gore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implementaciju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propisa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kom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iznosu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?</w:t>
            </w:r>
          </w:p>
          <w:p w14:paraId="7B23DD86" w14:textId="7B24F48B" w:rsidR="0057749B" w:rsidRPr="00A30024" w:rsidRDefault="00A30024" w:rsidP="000F05E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li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je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obezbjeđenje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finansijskih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sredstava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jednokratno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ili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tokom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određenog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vremenskog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perioda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? 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Obrazložiti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.</w:t>
            </w:r>
          </w:p>
          <w:p w14:paraId="7B23DD87" w14:textId="2337A439" w:rsidR="0057749B" w:rsidRPr="00A30024" w:rsidRDefault="00A30024" w:rsidP="000F05E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li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neophodna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finansijska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sredstva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obezbijeđena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budžetu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lokalnih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samouprava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odnosno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budžetu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Crne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Gore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tekuću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fiskalnu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godinu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odnosno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li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planirana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budžetu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narednu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fiskalnu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godinu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?</w:t>
            </w:r>
          </w:p>
          <w:p w14:paraId="7B23DD88" w14:textId="1722F14A" w:rsidR="0057749B" w:rsidRPr="00A30024" w:rsidRDefault="00A30024" w:rsidP="000F05E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li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će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implementacijom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propisa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ostvariti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prihod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lokalne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samouprave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odnosno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budžet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Crne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Gore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?</w:t>
            </w:r>
          </w:p>
          <w:p w14:paraId="7B23DD89" w14:textId="1F912D67" w:rsidR="0057749B" w:rsidRPr="00A30024" w:rsidRDefault="00A30024" w:rsidP="000F05E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Ko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je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potencijalni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korisnik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budžeta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implementaciju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propisa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(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kojem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procentu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bi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korisnici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mogli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biti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muškarci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kojem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žene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?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li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implementacija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budžeta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može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biti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uzrok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neravnopravnosti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između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muškaraca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žena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?)</w:t>
            </w:r>
          </w:p>
          <w:p w14:paraId="7B23DD8A" w14:textId="77777777" w:rsidR="0057749B" w:rsidRPr="00A30024" w:rsidRDefault="0057749B" w:rsidP="00DB7DAA">
            <w:pPr>
              <w:pStyle w:val="ListParagraph"/>
              <w:ind w:left="63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</w:p>
        </w:tc>
      </w:tr>
      <w:tr w:rsidR="0057749B" w:rsidRPr="00430934" w14:paraId="7B23DD94" w14:textId="77777777" w:rsidTr="000F05ED">
        <w:tc>
          <w:tcPr>
            <w:tcW w:w="9576" w:type="dxa"/>
            <w:gridSpan w:val="2"/>
          </w:tcPr>
          <w:p w14:paraId="7B23DD8C" w14:textId="1B9DC297" w:rsidR="0057749B" w:rsidRPr="00A30024" w:rsidRDefault="00A30024" w:rsidP="00DB7DAA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629" w:hanging="357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Propis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ne</w:t>
            </w:r>
            <w:r w:rsidR="008F309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utiče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direktno</w:t>
            </w:r>
            <w:r w:rsidR="008F309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na</w:t>
            </w:r>
            <w:r w:rsidR="008F309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visinu</w:t>
            </w:r>
            <w:r w:rsidR="008F309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prihoda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lokalne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samouprave</w:t>
            </w:r>
            <w:r w:rsidR="008F309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ali</w:t>
            </w:r>
            <w:r w:rsidR="008F309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može</w:t>
            </w:r>
            <w:r w:rsidR="008F309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povećati</w:t>
            </w:r>
            <w:r w:rsidR="008F309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njene</w:t>
            </w:r>
            <w:r w:rsidR="008F309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troškove</w:t>
            </w:r>
            <w:r w:rsidR="008F309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kroz</w:t>
            </w:r>
            <w:r w:rsidR="008F309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finansijsku</w:t>
            </w:r>
            <w:r w:rsidR="008F309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podršku</w:t>
            </w:r>
            <w:r w:rsidR="008F309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Klubu</w:t>
            </w:r>
            <w:r w:rsidR="008F309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ulaganja</w:t>
            </w:r>
            <w:r w:rsidR="008F309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</w:t>
            </w:r>
            <w:r w:rsidR="008F309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infrastrukturu</w:t>
            </w:r>
            <w:r w:rsidR="008F309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8F309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organizaciju</w:t>
            </w:r>
            <w:r w:rsidR="008F309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aktivnosti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. </w:t>
            </w:r>
          </w:p>
          <w:p w14:paraId="7B23DD8D" w14:textId="08F3B70B" w:rsidR="0057749B" w:rsidRPr="00A30024" w:rsidRDefault="00A30024" w:rsidP="00BF43F4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629" w:hanging="357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Nije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potrebno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obezbjeđivanje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finansijskih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sredstava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iz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budžeta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Crne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Gore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implementaciju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ovog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propisa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.</w:t>
            </w:r>
          </w:p>
          <w:p w14:paraId="6196DD15" w14:textId="2D4DFDA0" w:rsidR="00F94BDF" w:rsidRPr="00A30024" w:rsidRDefault="00A30024" w:rsidP="00F31CC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629" w:hanging="357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Obezbjeđenje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finansijskih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sredstava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rad</w:t>
            </w:r>
            <w:r w:rsidR="00F94BD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F94BD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funkcionisanje</w:t>
            </w:r>
            <w:r w:rsidR="00F94BD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Vaterpolo</w:t>
            </w:r>
            <w:r w:rsidR="00F94BD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kluba</w:t>
            </w:r>
            <w:r w:rsidR="00F94BD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„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Sutjeska</w:t>
            </w:r>
            <w:r w:rsidR="00F94BD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“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je</w:t>
            </w:r>
            <w:r w:rsidR="00F94BD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kontinuirano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.</w:t>
            </w:r>
            <w:r w:rsidR="00F31CC5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</w:t>
            </w:r>
            <w:r w:rsidR="00F94BD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osnivanje</w:t>
            </w:r>
            <w:r w:rsidR="00F94BD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F94BD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početak</w:t>
            </w:r>
            <w:r w:rsidR="00F94BD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rada</w:t>
            </w:r>
            <w:r w:rsidR="00F94BD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Kluba</w:t>
            </w:r>
            <w:r w:rsidR="00F94BD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obezbijeđena</w:t>
            </w:r>
            <w:r w:rsidR="00F94BD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su</w:t>
            </w:r>
            <w:r w:rsidR="00F94BD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novčana</w:t>
            </w:r>
            <w:r w:rsidR="00F94BD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sredstva</w:t>
            </w:r>
            <w:r w:rsidR="00F94BD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</w:t>
            </w:r>
            <w:r w:rsidR="00F94BD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iznosu</w:t>
            </w:r>
            <w:r w:rsidR="00F94BD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od</w:t>
            </w:r>
            <w:r w:rsidR="00F94BD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10.000,00 EUR.</w:t>
            </w:r>
            <w:r w:rsidR="00F31CC5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Pomenuta</w:t>
            </w:r>
            <w:r w:rsidR="00A3522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početna</w:t>
            </w:r>
            <w:r w:rsidR="00A3522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novčana</w:t>
            </w:r>
            <w:r w:rsidR="00A3522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sredstva</w:t>
            </w:r>
            <w:r w:rsidR="00A3522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mogu</w:t>
            </w:r>
            <w:r w:rsidR="00A3522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pokriti</w:t>
            </w:r>
            <w:r w:rsidR="00A3522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samo</w:t>
            </w:r>
            <w:r w:rsidR="00A3522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troškove</w:t>
            </w:r>
            <w:r w:rsidR="00A3522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osnivanja</w:t>
            </w:r>
            <w:r w:rsidR="00A3522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A3522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prvih</w:t>
            </w:r>
            <w:r w:rsidR="00A3522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aktivnosti</w:t>
            </w:r>
            <w:r w:rsidR="00A3522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ali</w:t>
            </w:r>
            <w:r w:rsidR="00A3522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</w:t>
            </w:r>
            <w:r w:rsidR="00A3522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redovan</w:t>
            </w:r>
            <w:r w:rsidR="00A3522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rad</w:t>
            </w:r>
            <w:r w:rsidR="00A3522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Kluba</w:t>
            </w:r>
            <w:r w:rsidR="00A3522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(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treninzi</w:t>
            </w:r>
            <w:r w:rsidR="00A3522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termini</w:t>
            </w:r>
            <w:r w:rsidR="00A3522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</w:t>
            </w:r>
            <w:r w:rsidR="00A3522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bazen</w:t>
            </w:r>
            <w:r w:rsidR="00A3522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takmičenja</w:t>
            </w:r>
            <w:r w:rsidR="00A3522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opremu</w:t>
            </w:r>
            <w:r w:rsidR="00A3522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licenciranje</w:t>
            </w:r>
            <w:r w:rsidR="00A3522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putovanja</w:t>
            </w:r>
            <w:r w:rsidR="00A3522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administraciju</w:t>
            </w:r>
            <w:r w:rsidR="00A3522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)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potrebna</w:t>
            </w:r>
            <w:r w:rsidR="00A3522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su</w:t>
            </w:r>
            <w:r w:rsidR="00A3522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kontinuirana</w:t>
            </w:r>
            <w:r w:rsidR="00A3522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(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stalna</w:t>
            </w:r>
            <w:r w:rsidR="00A3522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)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sredstva</w:t>
            </w:r>
            <w:r w:rsidR="00A3522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tokom</w:t>
            </w:r>
            <w:r w:rsidR="00A3522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cijele</w:t>
            </w:r>
            <w:r w:rsidR="00A3522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godine</w:t>
            </w:r>
            <w:r w:rsidR="00A3522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.</w:t>
            </w:r>
          </w:p>
          <w:p w14:paraId="7B23DD8F" w14:textId="1468EE75" w:rsidR="0057749B" w:rsidRPr="00A30024" w:rsidRDefault="00A30024" w:rsidP="00BF43F4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629" w:hanging="357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Pomenuta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finansijska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sredstva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narednu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godinu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obezbijeđena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budžetu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opštine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Nikšić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.</w:t>
            </w:r>
          </w:p>
          <w:p w14:paraId="7B23DD90" w14:textId="594CE6F4" w:rsidR="0057749B" w:rsidRPr="00A30024" w:rsidRDefault="00A30024" w:rsidP="006F290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629" w:hanging="357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Implementacijom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propisa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neće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se</w:t>
            </w:r>
            <w:r w:rsidR="00A3522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direktno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ostvariti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prihod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lokalnu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samoupravu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odnosno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budžet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Crne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Gore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.</w:t>
            </w:r>
            <w:r w:rsidR="00A3522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Međutim</w:t>
            </w:r>
            <w:r w:rsidR="00A3522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može</w:t>
            </w:r>
            <w:r w:rsidR="00A3522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indirektno</w:t>
            </w:r>
            <w:r w:rsidR="00A3522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doprinijeti</w:t>
            </w:r>
            <w:r w:rsidR="00A3522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lokalnoj</w:t>
            </w:r>
            <w:r w:rsidR="00A3522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zajednici</w:t>
            </w:r>
            <w:r w:rsidR="00A3522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A3522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to</w:t>
            </w:r>
            <w:r w:rsidR="00A3522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na</w:t>
            </w:r>
            <w:r w:rsidR="00A3522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nekoliko</w:t>
            </w:r>
            <w:r w:rsidR="00A3522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načina</w:t>
            </w:r>
            <w:r w:rsidR="00A3522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:</w:t>
            </w:r>
          </w:p>
          <w:p w14:paraId="2940BABF" w14:textId="6AB1EED3" w:rsidR="00A35226" w:rsidRPr="00A30024" w:rsidRDefault="008B7699" w:rsidP="008F309F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60"/>
              <w:ind w:left="851" w:hanging="284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 </w:t>
            </w:r>
            <w:r w:rsid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povećanjem</w:t>
            </w:r>
            <w:r w:rsidR="002076C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 w:rsid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korišćenja</w:t>
            </w:r>
            <w:r w:rsidR="002076C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 w:rsid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lokalnih</w:t>
            </w:r>
            <w:r w:rsidR="002076C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 w:rsid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sportskih</w:t>
            </w:r>
            <w:r w:rsidR="002076C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 w:rsid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kapaciteta</w:t>
            </w:r>
            <w:r w:rsidR="002076C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(</w:t>
            </w:r>
            <w:r w:rsid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bazena</w:t>
            </w:r>
            <w:r w:rsidR="002076C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), </w:t>
            </w:r>
            <w:r w:rsid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može</w:t>
            </w:r>
            <w:r w:rsidR="002076C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 w:rsid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donijeti</w:t>
            </w:r>
            <w:r w:rsidR="002076C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 w:rsid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prihod</w:t>
            </w:r>
            <w:r w:rsidR="002076C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 w:rsid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JP</w:t>
            </w:r>
            <w:r w:rsidR="00FE3763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 w:rsid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Sportski</w:t>
            </w:r>
            <w:r w:rsidR="00FE3763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 w:rsid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centar</w:t>
            </w:r>
            <w:r w:rsidR="002076C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 w:rsid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koje</w:t>
            </w:r>
            <w:r w:rsidR="002076C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 w:rsid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upravlja</w:t>
            </w:r>
            <w:r w:rsidR="002076C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 w:rsid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pomenutim</w:t>
            </w:r>
            <w:r w:rsidR="002076C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 w:rsid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sportskim</w:t>
            </w:r>
            <w:r w:rsidR="002076C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 w:rsid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objektom</w:t>
            </w:r>
            <w:r w:rsidR="002076C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;</w:t>
            </w:r>
          </w:p>
          <w:p w14:paraId="05C56096" w14:textId="4A3D54BA" w:rsidR="002076CB" w:rsidRPr="00A30024" w:rsidRDefault="008B7699" w:rsidP="008F309F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60"/>
              <w:ind w:hanging="63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 </w:t>
            </w:r>
            <w:r w:rsid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podsticanjem</w:t>
            </w:r>
            <w:r w:rsidR="002076C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 w:rsid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sportskog</w:t>
            </w:r>
            <w:r w:rsidR="002076C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 w:rsid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turizma</w:t>
            </w:r>
            <w:r w:rsidR="002076C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 w:rsid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kroz</w:t>
            </w:r>
            <w:r w:rsidR="002076C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 w:rsid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turnire</w:t>
            </w:r>
            <w:r w:rsidR="002076C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 w:rsid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2076C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 w:rsid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kampove</w:t>
            </w:r>
            <w:r w:rsidR="002076C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;</w:t>
            </w:r>
          </w:p>
          <w:p w14:paraId="67184800" w14:textId="0FCCE0DD" w:rsidR="002076CB" w:rsidRPr="00A30024" w:rsidRDefault="008B7699" w:rsidP="008F309F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60"/>
              <w:ind w:hanging="63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 </w:t>
            </w:r>
            <w:r w:rsid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povećanjem</w:t>
            </w:r>
            <w:r w:rsidR="002076C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 w:rsid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vidljivosti</w:t>
            </w:r>
            <w:r w:rsidR="002076C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 w:rsid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Nikšića</w:t>
            </w:r>
            <w:r w:rsidR="002076C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 w:rsid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2076C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 w:rsid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privlačenjem</w:t>
            </w:r>
            <w:r w:rsidR="002076C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 w:rsid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partnerstava</w:t>
            </w:r>
            <w:r w:rsidR="002076C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 w:rsid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ili</w:t>
            </w:r>
            <w:r w:rsidR="002076C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 w:rsid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ulaganja</w:t>
            </w:r>
            <w:r w:rsidR="002076C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;</w:t>
            </w:r>
            <w:r w:rsidR="00FE3763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 w:rsid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</w:p>
          <w:p w14:paraId="0F0BC058" w14:textId="19559C06" w:rsidR="002076CB" w:rsidRPr="00A30024" w:rsidRDefault="008B7699" w:rsidP="008F309F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60"/>
              <w:ind w:left="851" w:hanging="284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lastRenderedPageBreak/>
              <w:t xml:space="preserve">  </w:t>
            </w:r>
            <w:r w:rsid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doprinosom</w:t>
            </w:r>
            <w:r w:rsidR="002076C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 w:rsid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javnom</w:t>
            </w:r>
            <w:r w:rsidR="002076C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 w:rsid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interesu</w:t>
            </w:r>
            <w:r w:rsidR="002076C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(</w:t>
            </w:r>
            <w:r w:rsid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zdravlje</w:t>
            </w:r>
            <w:r w:rsidR="002076C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 w:rsid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mladih</w:t>
            </w:r>
            <w:r w:rsidR="002076C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 w:rsid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promocija</w:t>
            </w:r>
            <w:r w:rsidR="002076C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 w:rsid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sporta</w:t>
            </w:r>
            <w:r w:rsidR="002076C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), </w:t>
            </w:r>
            <w:r w:rsid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što</w:t>
            </w:r>
            <w:r w:rsidR="002076C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 w:rsid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predstavlja</w:t>
            </w:r>
            <w:r w:rsidR="002076C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 w:rsid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društvenu</w:t>
            </w:r>
            <w:r w:rsidR="00EF53B5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,</w:t>
            </w:r>
            <w:r w:rsidR="002076C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 w:rsid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a</w:t>
            </w:r>
            <w:r w:rsidR="002076C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 w:rsid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ne</w:t>
            </w:r>
            <w:r w:rsidR="002076C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 w:rsid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finansijsku</w:t>
            </w:r>
            <w:r w:rsidR="002076C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 w:rsid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korist</w:t>
            </w:r>
            <w:r w:rsidR="002076C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.</w:t>
            </w:r>
          </w:p>
          <w:p w14:paraId="7B23DD91" w14:textId="0A2EB34E" w:rsidR="0057749B" w:rsidRPr="00A30024" w:rsidRDefault="00A30024" w:rsidP="006F290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629" w:hanging="357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Potencijalni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korisnici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budžeta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implementaciju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propisa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su</w:t>
            </w:r>
            <w:r w:rsidR="00FE3763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: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Vaterpolo</w:t>
            </w:r>
            <w:r w:rsidR="00FE3763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klub</w:t>
            </w:r>
            <w:r w:rsidR="00FE3763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„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Sutjeska</w:t>
            </w:r>
            <w:r w:rsidR="00FE3763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“,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kao</w:t>
            </w:r>
            <w:r w:rsidR="00FE3763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glavni</w:t>
            </w:r>
            <w:r w:rsidR="00FE3763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nosilac</w:t>
            </w:r>
            <w:r w:rsidR="00FE3763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aktivnosti</w:t>
            </w:r>
            <w:r w:rsidR="00FE3763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zatim</w:t>
            </w:r>
            <w:r w:rsidR="00FE3763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JP</w:t>
            </w:r>
            <w:r w:rsidR="00FE3763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Sportski</w:t>
            </w:r>
            <w:r w:rsidR="00FE3763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centar</w:t>
            </w:r>
            <w:r w:rsidR="00FE3763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koji</w:t>
            </w:r>
            <w:r w:rsidR="00FE3763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obezbjeđuje</w:t>
            </w:r>
            <w:r w:rsidR="00FE3763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uslove</w:t>
            </w:r>
            <w:r w:rsidR="00FE3763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</w:t>
            </w:r>
            <w:r w:rsidR="00FE3763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rad</w:t>
            </w:r>
            <w:r w:rsidR="00FE3763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Kluba</w:t>
            </w:r>
            <w:r w:rsidR="00FE3763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FE3763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stručni</w:t>
            </w:r>
            <w:r w:rsidR="00FE3763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kadar</w:t>
            </w:r>
            <w:r w:rsidR="00FE3763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FE3763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saradnici</w:t>
            </w:r>
            <w:r w:rsidR="00FE3763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angažovani</w:t>
            </w:r>
            <w:r w:rsidR="00FE3763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na</w:t>
            </w:r>
            <w:r w:rsidR="00FE3763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sprovođenju</w:t>
            </w:r>
            <w:r w:rsidR="00FE3763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aktivnosti</w:t>
            </w:r>
            <w:r w:rsidR="00FE3763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Kluba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.</w:t>
            </w:r>
          </w:p>
          <w:p w14:paraId="4CA2F303" w14:textId="7426C20C" w:rsidR="005354A6" w:rsidRPr="00A30024" w:rsidRDefault="00A30024" w:rsidP="005354A6">
            <w:pPr>
              <w:autoSpaceDE w:val="0"/>
              <w:autoSpaceDN w:val="0"/>
              <w:adjustRightInd w:val="0"/>
              <w:spacing w:before="120"/>
              <w:ind w:left="629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Što</w:t>
            </w:r>
            <w:r w:rsidR="005354A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se</w:t>
            </w:r>
            <w:r w:rsidR="005354A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tiče</w:t>
            </w:r>
            <w:r w:rsidR="005354A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procentualne</w:t>
            </w:r>
            <w:r w:rsidR="005354A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raspodjele</w:t>
            </w:r>
            <w:r w:rsidR="005354A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budžetskih</w:t>
            </w:r>
            <w:r w:rsidR="00DD304D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sredstava</w:t>
            </w:r>
            <w:r w:rsidR="00DD304D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između</w:t>
            </w:r>
            <w:r w:rsidR="00DD304D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muškaraca</w:t>
            </w:r>
            <w:r w:rsidR="005354A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5354A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žena</w:t>
            </w:r>
            <w:r w:rsidR="005354A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to</w:t>
            </w:r>
            <w:r w:rsidR="005354A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zavisi</w:t>
            </w:r>
            <w:r w:rsidR="005354A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od</w:t>
            </w:r>
            <w:r w:rsidR="005354A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konkretne</w:t>
            </w:r>
            <w:r w:rsidR="005354A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strukture</w:t>
            </w:r>
            <w:r w:rsidR="005354A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članstva</w:t>
            </w:r>
            <w:r w:rsidR="005354A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5354A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angažovanog</w:t>
            </w:r>
            <w:r w:rsidR="005354A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osoblja</w:t>
            </w:r>
            <w:r w:rsidR="005354A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ali</w:t>
            </w:r>
            <w:r w:rsidR="005354A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</w:t>
            </w:r>
            <w:r w:rsidR="005354A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vaterpolo</w:t>
            </w:r>
            <w:r w:rsidR="005354A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sportu</w:t>
            </w:r>
            <w:r w:rsidR="00EF53B5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,</w:t>
            </w:r>
            <w:r w:rsidR="005354A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kada</w:t>
            </w:r>
            <w:r w:rsidR="005354A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su</w:t>
            </w:r>
            <w:r w:rsidR="005354A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</w:t>
            </w:r>
            <w:r w:rsidR="005354A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pitanju</w:t>
            </w:r>
            <w:r w:rsidR="005354A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sportisti</w:t>
            </w:r>
            <w:r w:rsidR="005354A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/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članovi</w:t>
            </w:r>
            <w:r w:rsidR="005354A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kluba</w:t>
            </w:r>
            <w:r w:rsidR="005354A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5354A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stručni</w:t>
            </w:r>
            <w:r w:rsidR="005354A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kadar</w:t>
            </w:r>
            <w:r w:rsidR="005354A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5354A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treneri</w:t>
            </w:r>
            <w:r w:rsidR="00EF53B5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,</w:t>
            </w:r>
            <w:r w:rsidR="005354A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procenat</w:t>
            </w:r>
            <w:r w:rsidR="005354A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je</w:t>
            </w:r>
            <w:r w:rsidR="005354A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na</w:t>
            </w:r>
            <w:r w:rsidR="005354A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strani</w:t>
            </w:r>
            <w:r w:rsidR="005354A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muškaraca</w:t>
            </w:r>
            <w:r w:rsidR="005354A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posebno</w:t>
            </w:r>
            <w:r w:rsidR="005354A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ako</w:t>
            </w:r>
            <w:r w:rsidR="005354A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se</w:t>
            </w:r>
            <w:r w:rsidR="005354A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počinje</w:t>
            </w:r>
            <w:r w:rsidR="005354A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od</w:t>
            </w:r>
            <w:r w:rsidR="005354A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muških</w:t>
            </w:r>
            <w:r w:rsidR="005354A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selekcija</w:t>
            </w:r>
            <w:r w:rsidR="005354A6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.</w:t>
            </w:r>
          </w:p>
          <w:p w14:paraId="7B23DD92" w14:textId="57FA6242" w:rsidR="0057749B" w:rsidRPr="00A30024" w:rsidRDefault="00A30024" w:rsidP="005354A6">
            <w:pPr>
              <w:autoSpaceDE w:val="0"/>
              <w:autoSpaceDN w:val="0"/>
              <w:adjustRightInd w:val="0"/>
              <w:spacing w:before="120"/>
              <w:ind w:left="629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Implementacija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budžeta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sama</w:t>
            </w:r>
            <w:r w:rsidR="006766A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</w:t>
            </w:r>
            <w:r w:rsidR="006766A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sebi</w:t>
            </w:r>
            <w:r w:rsidR="006766A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može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biti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uzrok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neravnopravnosti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između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muškaraca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žena</w:t>
            </w:r>
            <w:r w:rsidR="006766A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ali</w:t>
            </w:r>
            <w:r w:rsidR="006766A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do</w:t>
            </w:r>
            <w:r w:rsidR="006766A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neravnopravnosti</w:t>
            </w:r>
            <w:r w:rsidR="006766A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može</w:t>
            </w:r>
            <w:r w:rsidR="006766A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doći</w:t>
            </w:r>
            <w:r w:rsidR="006766A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ukoliko</w:t>
            </w:r>
            <w:r w:rsidR="006766A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se</w:t>
            </w:r>
            <w:r w:rsidR="006766A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sredstva</w:t>
            </w:r>
            <w:r w:rsidR="006766A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</w:t>
            </w:r>
            <w:r w:rsidR="006766A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aktivnosti</w:t>
            </w:r>
            <w:r w:rsidR="006766A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6766A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podršku</w:t>
            </w:r>
            <w:r w:rsidR="006766A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Klubu</w:t>
            </w:r>
            <w:r w:rsidR="006766A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ne</w:t>
            </w:r>
            <w:r w:rsidR="006766A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rasporede</w:t>
            </w:r>
            <w:r w:rsidR="006766A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6766A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ne</w:t>
            </w:r>
            <w:r w:rsidR="006766A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koriste</w:t>
            </w:r>
            <w:r w:rsidR="006766A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na</w:t>
            </w:r>
            <w:r w:rsidR="006766A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jednak</w:t>
            </w:r>
            <w:r w:rsidR="006766A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način</w:t>
            </w:r>
            <w:r w:rsidR="006766A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</w:t>
            </w:r>
            <w:r w:rsidR="006766A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oba</w:t>
            </w:r>
            <w:r w:rsidR="006766A1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pola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.</w:t>
            </w:r>
          </w:p>
          <w:p w14:paraId="7B23DD93" w14:textId="77777777" w:rsidR="0057749B" w:rsidRPr="00A30024" w:rsidRDefault="0057749B" w:rsidP="000F05ED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noProof/>
                <w:sz w:val="20"/>
                <w:szCs w:val="20"/>
                <w:lang w:val="sr-Latn-CS"/>
              </w:rPr>
            </w:pPr>
          </w:p>
        </w:tc>
      </w:tr>
      <w:tr w:rsidR="0057749B" w:rsidRPr="00A30024" w14:paraId="7B23DD9A" w14:textId="77777777" w:rsidTr="000F05ED">
        <w:tc>
          <w:tcPr>
            <w:tcW w:w="9576" w:type="dxa"/>
            <w:gridSpan w:val="2"/>
            <w:shd w:val="clear" w:color="auto" w:fill="D2EAF1"/>
          </w:tcPr>
          <w:p w14:paraId="7B23DD95" w14:textId="14589B6E" w:rsidR="0057749B" w:rsidRPr="00A30024" w:rsidRDefault="0057749B" w:rsidP="00C06EC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lastRenderedPageBreak/>
              <w:t xml:space="preserve">6. </w:t>
            </w:r>
            <w:r w:rsid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Konsultacije</w:t>
            </w:r>
            <w:r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 w:rsid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zainteresovanih</w:t>
            </w:r>
            <w:r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 w:rsid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strana</w:t>
            </w:r>
          </w:p>
          <w:p w14:paraId="7B23DD96" w14:textId="21841EEB" w:rsidR="0057749B" w:rsidRPr="00A30024" w:rsidRDefault="00A30024" w:rsidP="000F05E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Naznačiti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li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je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korišćena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eksterna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ekspertska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podrška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ako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kako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.</w:t>
            </w:r>
          </w:p>
          <w:p w14:paraId="7B23DD97" w14:textId="41504BAC" w:rsidR="0057749B" w:rsidRPr="00A30024" w:rsidRDefault="00A30024" w:rsidP="000F05E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Naznačiti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koje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grupe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zainteresovanih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strana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konsultovane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kojoj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fazi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RIA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procesa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kako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(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javne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ili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ciljane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konsultacije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).</w:t>
            </w:r>
          </w:p>
          <w:p w14:paraId="7B23DD98" w14:textId="532C4A6E" w:rsidR="0057749B" w:rsidRPr="00A30024" w:rsidRDefault="00A30024" w:rsidP="000F05E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li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predstavnice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ženskih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udruženja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ranjivih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grupa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bile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uključene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konsultacije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?</w:t>
            </w:r>
          </w:p>
          <w:p w14:paraId="0DEF4930" w14:textId="77777777" w:rsidR="0057749B" w:rsidRDefault="00A30024" w:rsidP="000F05E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Naznačiti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glavne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rezultate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konsultacija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koji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predlozi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sugestije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zainteresovanih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strana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prihvaćeni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odnosno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nijesu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prihvaćeni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.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Obrazložiti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.</w:t>
            </w:r>
          </w:p>
          <w:p w14:paraId="7B23DD99" w14:textId="4539286A" w:rsidR="00EF53B5" w:rsidRPr="00A30024" w:rsidRDefault="00EF53B5" w:rsidP="00EF53B5">
            <w:pPr>
              <w:pStyle w:val="ListParagraph"/>
              <w:autoSpaceDE w:val="0"/>
              <w:autoSpaceDN w:val="0"/>
              <w:adjustRightInd w:val="0"/>
              <w:ind w:left="630"/>
              <w:contextualSpacing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</w:p>
        </w:tc>
      </w:tr>
      <w:tr w:rsidR="0057749B" w:rsidRPr="00A30024" w14:paraId="7B23DDA1" w14:textId="77777777" w:rsidTr="000F05ED">
        <w:tc>
          <w:tcPr>
            <w:tcW w:w="9576" w:type="dxa"/>
            <w:gridSpan w:val="2"/>
          </w:tcPr>
          <w:p w14:paraId="7B23DD9B" w14:textId="77777777" w:rsidR="0057749B" w:rsidRPr="00A30024" w:rsidRDefault="0057749B" w:rsidP="001E3E69">
            <w:pPr>
              <w:autoSpaceDE w:val="0"/>
              <w:autoSpaceDN w:val="0"/>
              <w:adjustRightInd w:val="0"/>
              <w:ind w:firstLine="426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</w:p>
          <w:p w14:paraId="7B23DD9C" w14:textId="27F99636" w:rsidR="0057749B" w:rsidRPr="00A30024" w:rsidRDefault="00A30024" w:rsidP="00615760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pripremu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ove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odluke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nije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korišćena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eksterna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ekspertska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podrška</w:t>
            </w:r>
            <w:r w:rsidR="0051137E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jer</w:t>
            </w:r>
            <w:r w:rsidR="0051137E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nije</w:t>
            </w:r>
            <w:r w:rsidR="0051137E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bila</w:t>
            </w:r>
            <w:r w:rsidR="0051137E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potrebna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.</w:t>
            </w:r>
          </w:p>
          <w:p w14:paraId="7B23DD9D" w14:textId="2F970622" w:rsidR="0057749B" w:rsidRPr="00A30024" w:rsidRDefault="00A30024" w:rsidP="00854AFE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/>
              <w:ind w:left="629" w:hanging="357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Konsultacije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izvršene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sportskim</w:t>
            </w:r>
            <w:r w:rsidR="00727085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organizacijama</w:t>
            </w:r>
            <w:r w:rsidR="00727085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</w:t>
            </w:r>
            <w:r w:rsidR="00727085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opštini</w:t>
            </w:r>
            <w:r w:rsidR="00727085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Nikšić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.</w:t>
            </w:r>
          </w:p>
          <w:p w14:paraId="7B23DD9E" w14:textId="65D635CA" w:rsidR="0057749B" w:rsidRPr="00A30024" w:rsidRDefault="00A30024" w:rsidP="002449FB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/>
              <w:ind w:left="629" w:hanging="357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Predstavnici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ženskih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udruženja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ranjivih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grupa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nijesu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uključeni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konsultacije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vezi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donošenjem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ovog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propisa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.</w:t>
            </w:r>
          </w:p>
          <w:p w14:paraId="7B23DD9F" w14:textId="7042D44D" w:rsidR="0051137E" w:rsidRPr="00A30024" w:rsidRDefault="00A30024" w:rsidP="00F95F7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</w:t>
            </w:r>
            <w:r w:rsidR="00727085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postupku</w:t>
            </w:r>
            <w:r w:rsidR="00727085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pripreme</w:t>
            </w:r>
            <w:r w:rsidR="00727085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predloženog</w:t>
            </w:r>
            <w:r w:rsidR="00F95F7C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propisa</w:t>
            </w:r>
            <w:r w:rsidR="00F95F7C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sproveden</w:t>
            </w:r>
            <w:r w:rsidR="00F95F7C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je</w:t>
            </w:r>
            <w:r w:rsidR="00727085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postupak</w:t>
            </w:r>
            <w:r w:rsidR="00727085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javne</w:t>
            </w:r>
            <w:r w:rsidR="00727085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rasprave</w:t>
            </w:r>
            <w:r w:rsidR="00F95F7C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.</w:t>
            </w:r>
            <w:r w:rsidR="00727085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Predloga</w:t>
            </w:r>
            <w:r w:rsidR="0051137E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51137E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sugestija</w:t>
            </w:r>
            <w:r w:rsidR="0051137E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na</w:t>
            </w:r>
            <w:r w:rsidR="0051137E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predlog</w:t>
            </w:r>
            <w:r w:rsidR="00B54FF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odluke</w:t>
            </w:r>
            <w:r w:rsidR="00F95F7C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od</w:t>
            </w:r>
            <w:r w:rsidR="00F95F7C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strane</w:t>
            </w:r>
            <w:r w:rsidR="00F95F7C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zainteresovane</w:t>
            </w:r>
            <w:r w:rsidR="00F95F7C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javnosti</w:t>
            </w:r>
            <w:r w:rsidR="0051137E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nije</w:t>
            </w:r>
            <w:r w:rsidR="0051137E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bilo</w:t>
            </w:r>
            <w:r w:rsidR="0051137E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.</w:t>
            </w:r>
          </w:p>
          <w:p w14:paraId="7B23DDA0" w14:textId="77777777" w:rsidR="0057749B" w:rsidRPr="00A30024" w:rsidRDefault="0057749B" w:rsidP="000F05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</w:p>
        </w:tc>
      </w:tr>
      <w:tr w:rsidR="0057749B" w:rsidRPr="00A30024" w14:paraId="7B23DDA6" w14:textId="77777777" w:rsidTr="00AA5809">
        <w:tc>
          <w:tcPr>
            <w:tcW w:w="9576" w:type="dxa"/>
            <w:gridSpan w:val="2"/>
            <w:shd w:val="clear" w:color="auto" w:fill="DAEEF3"/>
          </w:tcPr>
          <w:p w14:paraId="7B23DDA2" w14:textId="0CAEB482" w:rsidR="0057749B" w:rsidRPr="00A30024" w:rsidRDefault="0057749B" w:rsidP="00304A2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7. </w:t>
            </w:r>
            <w:r w:rsid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Monitoring</w:t>
            </w:r>
            <w:r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 w:rsid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 w:rsid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evaluacija</w:t>
            </w:r>
          </w:p>
          <w:p w14:paraId="7B23DDA3" w14:textId="5E00B9BA" w:rsidR="0057749B" w:rsidRPr="00A30024" w:rsidRDefault="00A30024" w:rsidP="000F05E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Koje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potencijalne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prepreke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implementaciju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propisa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? </w:t>
            </w:r>
          </w:p>
          <w:p w14:paraId="7B23DDA4" w14:textId="435C2BE5" w:rsidR="0057749B" w:rsidRPr="00A30024" w:rsidRDefault="00A30024" w:rsidP="000F05E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Koji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glavni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indikatori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prema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kojima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će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mjeriti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ispunjenje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ciljeva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?</w:t>
            </w:r>
          </w:p>
          <w:p w14:paraId="2FD76F9C" w14:textId="77777777" w:rsidR="0057749B" w:rsidRDefault="00A30024" w:rsidP="000F05E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Ko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će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biti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zadužen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sprovođenje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monitoringa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evaluacije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primjene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propisa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?</w:t>
            </w:r>
          </w:p>
          <w:p w14:paraId="7B23DDA5" w14:textId="7350E334" w:rsidR="00EF53B5" w:rsidRPr="00A30024" w:rsidRDefault="00EF53B5" w:rsidP="00EF53B5">
            <w:pPr>
              <w:pStyle w:val="ListParagraph"/>
              <w:autoSpaceDE w:val="0"/>
              <w:autoSpaceDN w:val="0"/>
              <w:adjustRightInd w:val="0"/>
              <w:ind w:left="630"/>
              <w:contextualSpacing/>
              <w:jc w:val="left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</w:p>
        </w:tc>
      </w:tr>
      <w:tr w:rsidR="0057749B" w:rsidRPr="00A30024" w14:paraId="7B23DDAC" w14:textId="77777777" w:rsidTr="00136DB2">
        <w:tc>
          <w:tcPr>
            <w:tcW w:w="9576" w:type="dxa"/>
            <w:gridSpan w:val="2"/>
            <w:shd w:val="clear" w:color="auto" w:fill="auto"/>
          </w:tcPr>
          <w:p w14:paraId="7B23DDA7" w14:textId="77777777" w:rsidR="0057749B" w:rsidRPr="00A30024" w:rsidRDefault="0057749B" w:rsidP="000F05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</w:p>
          <w:p w14:paraId="7B23DDA8" w14:textId="25532756" w:rsidR="0057749B" w:rsidRPr="00A30024" w:rsidRDefault="00A30024" w:rsidP="00D775A9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implementaciju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ove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odluke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postoje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prepreke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.</w:t>
            </w:r>
          </w:p>
          <w:p w14:paraId="7252C82F" w14:textId="76E17DD9" w:rsidR="00B553BF" w:rsidRPr="00A30024" w:rsidRDefault="00A30024" w:rsidP="00B553BF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/>
              <w:ind w:left="629" w:hanging="357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Glavni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indikatori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mjerenje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ispunjenosti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ciljeva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su</w:t>
            </w:r>
            <w:r w:rsidR="00B553B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: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povećanje</w:t>
            </w:r>
            <w:r w:rsidR="0095681E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interesovanja</w:t>
            </w:r>
            <w:r w:rsidR="0095681E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djece</w:t>
            </w:r>
            <w:r w:rsidR="0095681E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</w:t>
            </w:r>
            <w:r w:rsidR="0095681E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vaterpolo</w:t>
            </w:r>
            <w:r w:rsidR="00EF53B5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sport</w:t>
            </w:r>
            <w:r w:rsidR="0095681E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broj</w:t>
            </w:r>
            <w:r w:rsidR="00B553B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upisanih</w:t>
            </w:r>
            <w:r w:rsidR="00B553B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članova</w:t>
            </w:r>
            <w:r w:rsidR="00B553B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B553B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takmičara</w:t>
            </w:r>
            <w:r w:rsidR="00B553B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broj</w:t>
            </w:r>
            <w:r w:rsidR="00B553B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licenciranih</w:t>
            </w:r>
            <w:r w:rsidR="00B553B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trenera</w:t>
            </w:r>
            <w:r w:rsidR="00B553B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B553B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stručnog</w:t>
            </w:r>
            <w:r w:rsidR="00B553B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osoblja</w:t>
            </w:r>
            <w:r w:rsidR="00B553B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kvalitet</w:t>
            </w:r>
            <w:r w:rsidR="00B553B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organizacije</w:t>
            </w:r>
            <w:r w:rsidR="00B553B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B553B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infrastrukture</w:t>
            </w:r>
            <w:r w:rsidR="00B553B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sportski</w:t>
            </w:r>
            <w:r w:rsidR="00B553B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rezultati</w:t>
            </w:r>
            <w:r w:rsidR="00B553B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B553B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napredak</w:t>
            </w:r>
            <w:r w:rsidR="00B553B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igrača</w:t>
            </w:r>
            <w:r w:rsidR="00B553B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finansijska</w:t>
            </w:r>
            <w:r w:rsidR="00B553B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stabilnost</w:t>
            </w:r>
            <w:r w:rsidR="00B553B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kroz</w:t>
            </w:r>
            <w:r w:rsidR="00B553B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raznovrsne</w:t>
            </w:r>
            <w:r w:rsidR="00B553B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izvore</w:t>
            </w:r>
            <w:r w:rsidR="00B553B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prihoda</w:t>
            </w:r>
            <w:r w:rsidR="00B553B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te</w:t>
            </w:r>
            <w:r w:rsidR="00B553B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vidljivost</w:t>
            </w:r>
            <w:r w:rsidR="00B553B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B553B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uticaj</w:t>
            </w:r>
            <w:r w:rsidR="00B553B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Kluba</w:t>
            </w:r>
            <w:r w:rsidR="00B553B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</w:t>
            </w:r>
            <w:r w:rsidR="00B553B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lokalnoj</w:t>
            </w:r>
            <w:r w:rsidR="00B553B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zajednici</w:t>
            </w:r>
            <w:r w:rsidR="00B553B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uključujući</w:t>
            </w:r>
            <w:r w:rsidR="00B553B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promociju</w:t>
            </w:r>
            <w:r w:rsidR="00B553B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vaterpolo</w:t>
            </w:r>
            <w:r w:rsidR="00B553B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sporta</w:t>
            </w:r>
            <w:r w:rsidR="00B553B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medijsku</w:t>
            </w:r>
            <w:r w:rsidR="00B553B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prisutnost</w:t>
            </w:r>
            <w:r w:rsidR="00B553B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B553B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zadovoljstvo</w:t>
            </w:r>
            <w:r w:rsidR="00B553B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članova</w:t>
            </w:r>
            <w:r w:rsidR="00B553B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95681E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njihovih</w:t>
            </w:r>
            <w:r w:rsidR="0095681E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roditelja</w:t>
            </w:r>
            <w:r w:rsidR="00B553BF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.</w:t>
            </w:r>
          </w:p>
          <w:p w14:paraId="7B23DDAA" w14:textId="2D3F216B" w:rsidR="0057749B" w:rsidRPr="00A30024" w:rsidRDefault="00A30024" w:rsidP="00D775A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/>
              <w:ind w:left="629" w:hanging="357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sprovođenje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monitoringa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evaluacije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primjene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ove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odluke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biće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zadužen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Sekretarijat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sport</w:t>
            </w:r>
            <w:r w:rsidR="00EF53B5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i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mlade</w:t>
            </w:r>
            <w:r w:rsidR="0057749B" w:rsidRPr="00A300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.</w:t>
            </w:r>
          </w:p>
          <w:p w14:paraId="7B23DDAB" w14:textId="77777777" w:rsidR="0057749B" w:rsidRPr="00A30024" w:rsidRDefault="0057749B" w:rsidP="000F05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</w:p>
        </w:tc>
      </w:tr>
    </w:tbl>
    <w:p w14:paraId="7B23DDAD" w14:textId="77777777" w:rsidR="0057749B" w:rsidRPr="00A30024" w:rsidRDefault="0057749B" w:rsidP="00BA7396">
      <w:pPr>
        <w:autoSpaceDE w:val="0"/>
        <w:autoSpaceDN w:val="0"/>
        <w:adjustRightInd w:val="0"/>
        <w:rPr>
          <w:rFonts w:ascii="Arial" w:hAnsi="Arial" w:cs="Arial"/>
          <w:b/>
          <w:bCs w:val="0"/>
          <w:noProof/>
          <w:sz w:val="20"/>
          <w:szCs w:val="20"/>
          <w:lang w:val="sr-Latn-CS"/>
        </w:rPr>
      </w:pPr>
    </w:p>
    <w:p w14:paraId="7B23DDAE" w14:textId="77777777" w:rsidR="0057749B" w:rsidRPr="00A30024" w:rsidRDefault="0057749B">
      <w:pPr>
        <w:rPr>
          <w:rFonts w:ascii="Arial" w:hAnsi="Arial" w:cs="Arial"/>
          <w:b/>
          <w:noProof/>
          <w:lang w:val="sr-Latn-CS"/>
        </w:rPr>
      </w:pPr>
    </w:p>
    <w:p w14:paraId="7B23DDAF" w14:textId="77777777" w:rsidR="00727085" w:rsidRPr="00A30024" w:rsidRDefault="00727085">
      <w:pPr>
        <w:rPr>
          <w:rFonts w:ascii="Arial" w:hAnsi="Arial" w:cs="Arial"/>
          <w:b/>
          <w:noProof/>
          <w:lang w:val="sr-Latn-CS"/>
        </w:rPr>
      </w:pPr>
    </w:p>
    <w:p w14:paraId="7B23DDB0" w14:textId="654C3F64" w:rsidR="0057749B" w:rsidRPr="00A30024" w:rsidRDefault="00490EEA">
      <w:pPr>
        <w:rPr>
          <w:rFonts w:ascii="Arial" w:hAnsi="Arial" w:cs="Arial"/>
          <w:b/>
          <w:noProof/>
          <w:color w:val="17365D"/>
          <w:lang w:val="sr-Latn-CS"/>
        </w:rPr>
      </w:pPr>
      <w:r w:rsidRPr="00A30024">
        <w:rPr>
          <w:rFonts w:ascii="Arial" w:hAnsi="Arial" w:cs="Arial"/>
          <w:b/>
          <w:noProof/>
          <w:color w:val="17365D"/>
          <w:lang w:val="sr-Latn-CS"/>
        </w:rPr>
        <w:t xml:space="preserve">   </w:t>
      </w:r>
      <w:r w:rsidR="00A45467">
        <w:rPr>
          <w:rFonts w:ascii="Arial" w:hAnsi="Arial" w:cs="Arial"/>
          <w:b/>
          <w:noProof/>
          <w:color w:val="17365D"/>
          <w:lang w:val="sr-Latn-CS"/>
        </w:rPr>
        <w:t xml:space="preserve">         </w:t>
      </w:r>
      <w:r w:rsidR="00A30024">
        <w:rPr>
          <w:rFonts w:ascii="Arial" w:hAnsi="Arial" w:cs="Arial"/>
          <w:b/>
          <w:noProof/>
          <w:color w:val="17365D"/>
          <w:lang w:val="sr-Latn-CS"/>
        </w:rPr>
        <w:t>Datum</w:t>
      </w:r>
      <w:r w:rsidR="0057749B" w:rsidRPr="00A30024">
        <w:rPr>
          <w:rFonts w:ascii="Arial" w:hAnsi="Arial" w:cs="Arial"/>
          <w:b/>
          <w:noProof/>
          <w:color w:val="17365D"/>
          <w:lang w:val="sr-Latn-CS"/>
        </w:rPr>
        <w:t xml:space="preserve"> </w:t>
      </w:r>
      <w:r w:rsidR="00A30024">
        <w:rPr>
          <w:rFonts w:ascii="Arial" w:hAnsi="Arial" w:cs="Arial"/>
          <w:b/>
          <w:noProof/>
          <w:color w:val="17365D"/>
          <w:lang w:val="sr-Latn-CS"/>
        </w:rPr>
        <w:t>i</w:t>
      </w:r>
      <w:r w:rsidR="0057749B" w:rsidRPr="00A30024">
        <w:rPr>
          <w:rFonts w:ascii="Arial" w:hAnsi="Arial" w:cs="Arial"/>
          <w:b/>
          <w:noProof/>
          <w:color w:val="17365D"/>
          <w:lang w:val="sr-Latn-CS"/>
        </w:rPr>
        <w:t xml:space="preserve"> </w:t>
      </w:r>
      <w:r w:rsidR="00A30024">
        <w:rPr>
          <w:rFonts w:ascii="Arial" w:hAnsi="Arial" w:cs="Arial"/>
          <w:b/>
          <w:noProof/>
          <w:color w:val="17365D"/>
          <w:lang w:val="sr-Latn-CS"/>
        </w:rPr>
        <w:t>mjesto</w:t>
      </w:r>
      <w:r w:rsidR="0057749B" w:rsidRPr="00A30024">
        <w:rPr>
          <w:rFonts w:ascii="Arial" w:hAnsi="Arial" w:cs="Arial"/>
          <w:b/>
          <w:noProof/>
          <w:color w:val="17365D"/>
          <w:lang w:val="sr-Latn-CS"/>
        </w:rPr>
        <w:tab/>
      </w:r>
      <w:r w:rsidR="0057749B" w:rsidRPr="00A30024">
        <w:rPr>
          <w:rFonts w:ascii="Arial" w:hAnsi="Arial" w:cs="Arial"/>
          <w:b/>
          <w:noProof/>
          <w:color w:val="17365D"/>
          <w:lang w:val="sr-Latn-CS"/>
        </w:rPr>
        <w:tab/>
      </w:r>
      <w:r w:rsidR="0057749B" w:rsidRPr="00A30024">
        <w:rPr>
          <w:rFonts w:ascii="Arial" w:hAnsi="Arial" w:cs="Arial"/>
          <w:b/>
          <w:noProof/>
          <w:color w:val="17365D"/>
          <w:lang w:val="sr-Latn-CS"/>
        </w:rPr>
        <w:tab/>
      </w:r>
      <w:r w:rsidR="0057749B" w:rsidRPr="00A30024">
        <w:rPr>
          <w:rFonts w:ascii="Arial" w:hAnsi="Arial" w:cs="Arial"/>
          <w:b/>
          <w:noProof/>
          <w:color w:val="17365D"/>
          <w:lang w:val="sr-Latn-CS"/>
        </w:rPr>
        <w:tab/>
      </w:r>
      <w:r w:rsidR="0057749B" w:rsidRPr="00A30024">
        <w:rPr>
          <w:rFonts w:ascii="Arial" w:hAnsi="Arial" w:cs="Arial"/>
          <w:b/>
          <w:noProof/>
          <w:color w:val="17365D"/>
          <w:lang w:val="sr-Latn-CS"/>
        </w:rPr>
        <w:tab/>
        <w:t xml:space="preserve">                </w:t>
      </w:r>
      <w:r w:rsidR="00A45467">
        <w:rPr>
          <w:rFonts w:ascii="Arial" w:hAnsi="Arial" w:cs="Arial"/>
          <w:b/>
          <w:noProof/>
          <w:color w:val="17365D"/>
          <w:lang w:val="sr-Latn-CS"/>
        </w:rPr>
        <w:t xml:space="preserve">V.D. </w:t>
      </w:r>
      <w:r w:rsidR="00A30024">
        <w:rPr>
          <w:rFonts w:ascii="Arial" w:hAnsi="Arial" w:cs="Arial"/>
          <w:b/>
          <w:noProof/>
          <w:color w:val="17365D"/>
          <w:lang w:val="sr-Latn-CS"/>
        </w:rPr>
        <w:t>SE</w:t>
      </w:r>
      <w:r w:rsidR="00A45467">
        <w:rPr>
          <w:rFonts w:ascii="Arial" w:hAnsi="Arial" w:cs="Arial"/>
          <w:b/>
          <w:noProof/>
          <w:color w:val="17365D"/>
          <w:lang w:val="sr-Latn-CS"/>
        </w:rPr>
        <w:t>KRETAR</w:t>
      </w:r>
      <w:r w:rsidR="00A30024">
        <w:rPr>
          <w:rFonts w:ascii="Arial" w:hAnsi="Arial" w:cs="Arial"/>
          <w:b/>
          <w:noProof/>
          <w:color w:val="17365D"/>
          <w:lang w:val="sr-Latn-CS"/>
        </w:rPr>
        <w:t>A</w:t>
      </w:r>
    </w:p>
    <w:p w14:paraId="7B23DDB1" w14:textId="77777777" w:rsidR="0057749B" w:rsidRPr="00A30024" w:rsidRDefault="0057749B">
      <w:pPr>
        <w:rPr>
          <w:rFonts w:ascii="Arial" w:hAnsi="Arial" w:cs="Arial"/>
          <w:noProof/>
          <w:color w:val="17365D"/>
          <w:sz w:val="12"/>
          <w:szCs w:val="12"/>
          <w:lang w:val="sr-Latn-CS"/>
        </w:rPr>
      </w:pPr>
    </w:p>
    <w:p w14:paraId="7B23DDB2" w14:textId="793BAF7C" w:rsidR="0057749B" w:rsidRPr="00A30024" w:rsidRDefault="00A30024">
      <w:pPr>
        <w:rPr>
          <w:rFonts w:ascii="Arial" w:hAnsi="Arial" w:cs="Arial"/>
          <w:noProof/>
          <w:lang w:val="sr-Latn-CS"/>
        </w:rPr>
      </w:pPr>
      <w:r>
        <w:rPr>
          <w:rFonts w:ascii="Arial" w:hAnsi="Arial" w:cs="Arial"/>
          <w:noProof/>
          <w:color w:val="17365D"/>
          <w:lang w:val="sr-Latn-CS"/>
        </w:rPr>
        <w:t>Nikšić</w:t>
      </w:r>
      <w:r w:rsidR="0057749B" w:rsidRPr="00A30024">
        <w:rPr>
          <w:rFonts w:ascii="Arial" w:hAnsi="Arial" w:cs="Arial"/>
          <w:noProof/>
          <w:color w:val="17365D"/>
          <w:lang w:val="sr-Latn-CS"/>
        </w:rPr>
        <w:t xml:space="preserve">, </w:t>
      </w:r>
      <w:r w:rsidR="00A45467">
        <w:rPr>
          <w:rFonts w:ascii="Arial" w:hAnsi="Arial" w:cs="Arial"/>
          <w:noProof/>
          <w:color w:val="17365D"/>
          <w:lang w:val="sr-Latn-CS"/>
        </w:rPr>
        <w:t>4</w:t>
      </w:r>
      <w:r w:rsidR="0057749B" w:rsidRPr="00A30024">
        <w:rPr>
          <w:rFonts w:ascii="Arial" w:hAnsi="Arial" w:cs="Arial"/>
          <w:noProof/>
          <w:color w:val="17365D"/>
          <w:lang w:val="sr-Latn-CS"/>
        </w:rPr>
        <w:t>.</w:t>
      </w:r>
      <w:r w:rsidR="00A45467">
        <w:rPr>
          <w:rFonts w:ascii="Arial" w:hAnsi="Arial" w:cs="Arial"/>
          <w:noProof/>
          <w:color w:val="17365D"/>
          <w:lang w:val="sr-Latn-CS"/>
        </w:rPr>
        <w:t xml:space="preserve">decembar </w:t>
      </w:r>
      <w:r w:rsidR="0057749B" w:rsidRPr="00A30024">
        <w:rPr>
          <w:rFonts w:ascii="Arial" w:hAnsi="Arial" w:cs="Arial"/>
          <w:noProof/>
          <w:color w:val="17365D"/>
          <w:lang w:val="sr-Latn-CS"/>
        </w:rPr>
        <w:t>202</w:t>
      </w:r>
      <w:r w:rsidR="00C149A5" w:rsidRPr="00A30024">
        <w:rPr>
          <w:rFonts w:ascii="Arial" w:hAnsi="Arial" w:cs="Arial"/>
          <w:noProof/>
          <w:color w:val="17365D"/>
          <w:lang w:val="sr-Latn-CS"/>
        </w:rPr>
        <w:t>5</w:t>
      </w:r>
      <w:r w:rsidR="0057749B" w:rsidRPr="00A30024">
        <w:rPr>
          <w:rFonts w:ascii="Arial" w:hAnsi="Arial" w:cs="Arial"/>
          <w:noProof/>
          <w:color w:val="17365D"/>
          <w:lang w:val="sr-Latn-CS"/>
        </w:rPr>
        <w:t>.</w:t>
      </w:r>
      <w:r w:rsidR="00490EEA" w:rsidRPr="00A30024">
        <w:rPr>
          <w:rFonts w:ascii="Arial" w:hAnsi="Arial" w:cs="Arial"/>
          <w:noProof/>
          <w:color w:val="17365D"/>
          <w:lang w:val="sr-Latn-CS"/>
        </w:rPr>
        <w:t xml:space="preserve"> </w:t>
      </w:r>
      <w:r>
        <w:rPr>
          <w:rFonts w:ascii="Arial" w:hAnsi="Arial" w:cs="Arial"/>
          <w:noProof/>
          <w:color w:val="17365D"/>
          <w:lang w:val="sr-Latn-CS"/>
        </w:rPr>
        <w:t>godine</w:t>
      </w:r>
      <w:r w:rsidR="0057749B" w:rsidRPr="00A30024">
        <w:rPr>
          <w:rFonts w:ascii="Arial" w:hAnsi="Arial" w:cs="Arial"/>
          <w:noProof/>
          <w:color w:val="17365D"/>
          <w:lang w:val="sr-Latn-CS"/>
        </w:rPr>
        <w:tab/>
      </w:r>
      <w:r w:rsidR="0057749B" w:rsidRPr="00A30024">
        <w:rPr>
          <w:rFonts w:ascii="Arial" w:hAnsi="Arial" w:cs="Arial"/>
          <w:noProof/>
          <w:color w:val="17365D"/>
          <w:lang w:val="sr-Latn-CS"/>
        </w:rPr>
        <w:tab/>
      </w:r>
      <w:r w:rsidR="0057749B" w:rsidRPr="00A30024">
        <w:rPr>
          <w:rFonts w:ascii="Arial" w:hAnsi="Arial" w:cs="Arial"/>
          <w:noProof/>
          <w:color w:val="17365D"/>
          <w:lang w:val="sr-Latn-CS"/>
        </w:rPr>
        <w:tab/>
      </w:r>
      <w:r w:rsidR="0057749B" w:rsidRPr="00A30024">
        <w:rPr>
          <w:rFonts w:ascii="Arial" w:hAnsi="Arial" w:cs="Arial"/>
          <w:noProof/>
          <w:color w:val="17365D"/>
          <w:lang w:val="sr-Latn-CS"/>
        </w:rPr>
        <w:tab/>
        <w:t xml:space="preserve">        </w:t>
      </w:r>
      <w:r w:rsidR="00727085" w:rsidRPr="00A30024">
        <w:rPr>
          <w:rFonts w:ascii="Arial" w:hAnsi="Arial" w:cs="Arial"/>
          <w:noProof/>
          <w:color w:val="17365D"/>
          <w:lang w:val="sr-Latn-CS"/>
        </w:rPr>
        <w:t xml:space="preserve">    </w:t>
      </w:r>
      <w:r w:rsidR="00490EEA" w:rsidRPr="00A30024">
        <w:rPr>
          <w:rFonts w:ascii="Arial" w:hAnsi="Arial" w:cs="Arial"/>
          <w:noProof/>
          <w:color w:val="17365D"/>
          <w:lang w:val="sr-Latn-CS"/>
        </w:rPr>
        <w:t xml:space="preserve">    </w:t>
      </w:r>
      <w:r w:rsidR="00997D98">
        <w:rPr>
          <w:rFonts w:ascii="Arial" w:hAnsi="Arial" w:cs="Arial"/>
          <w:noProof/>
          <w:color w:val="17365D"/>
          <w:lang w:val="sr-Latn-CS"/>
        </w:rPr>
        <w:t xml:space="preserve"> </w:t>
      </w:r>
      <w:r w:rsidR="00024B31" w:rsidRPr="00A30024">
        <w:rPr>
          <w:rFonts w:ascii="Arial" w:hAnsi="Arial" w:cs="Arial"/>
          <w:noProof/>
          <w:color w:val="17365D"/>
          <w:lang w:val="sr-Latn-CS"/>
        </w:rPr>
        <w:t xml:space="preserve"> </w:t>
      </w:r>
      <w:r w:rsidR="00A45467">
        <w:rPr>
          <w:rFonts w:ascii="Arial" w:hAnsi="Arial" w:cs="Arial"/>
          <w:noProof/>
          <w:color w:val="17365D"/>
          <w:lang w:val="sr-Latn-CS"/>
        </w:rPr>
        <w:t xml:space="preserve"> </w:t>
      </w:r>
      <w:r>
        <w:rPr>
          <w:rFonts w:ascii="Arial" w:hAnsi="Arial" w:cs="Arial"/>
          <w:noProof/>
          <w:color w:val="17365D"/>
          <w:lang w:val="sr-Latn-CS"/>
        </w:rPr>
        <w:t>Dejan</w:t>
      </w:r>
      <w:r w:rsidR="00727085" w:rsidRPr="00A30024">
        <w:rPr>
          <w:rFonts w:ascii="Arial" w:hAnsi="Arial" w:cs="Arial"/>
          <w:noProof/>
          <w:color w:val="17365D"/>
          <w:lang w:val="sr-Latn-CS"/>
        </w:rPr>
        <w:t xml:space="preserve"> </w:t>
      </w:r>
      <w:r>
        <w:rPr>
          <w:rFonts w:ascii="Arial" w:hAnsi="Arial" w:cs="Arial"/>
          <w:noProof/>
          <w:color w:val="17365D"/>
          <w:lang w:val="sr-Latn-CS"/>
        </w:rPr>
        <w:t>Ivanović</w:t>
      </w:r>
      <w:r w:rsidR="00997D98">
        <w:rPr>
          <w:rFonts w:ascii="Arial" w:hAnsi="Arial" w:cs="Arial"/>
          <w:noProof/>
          <w:color w:val="17365D"/>
          <w:lang w:val="sr-Latn-CS"/>
        </w:rPr>
        <w:t>, s.r.</w:t>
      </w:r>
      <w:r w:rsidR="0057749B" w:rsidRPr="00A30024">
        <w:rPr>
          <w:rFonts w:ascii="Arial" w:hAnsi="Arial" w:cs="Arial"/>
          <w:noProof/>
          <w:lang w:val="sr-Latn-CS"/>
        </w:rPr>
        <w:tab/>
      </w:r>
      <w:r w:rsidR="0057749B" w:rsidRPr="00A30024">
        <w:rPr>
          <w:rFonts w:ascii="Arial" w:hAnsi="Arial" w:cs="Arial"/>
          <w:noProof/>
          <w:lang w:val="sr-Latn-CS"/>
        </w:rPr>
        <w:tab/>
      </w:r>
      <w:r w:rsidR="0057749B" w:rsidRPr="00A30024">
        <w:rPr>
          <w:rFonts w:ascii="Arial" w:hAnsi="Arial" w:cs="Arial"/>
          <w:noProof/>
          <w:lang w:val="sr-Latn-CS"/>
        </w:rPr>
        <w:tab/>
      </w:r>
      <w:r w:rsidR="0057749B" w:rsidRPr="00A30024">
        <w:rPr>
          <w:rFonts w:ascii="Arial" w:hAnsi="Arial" w:cs="Arial"/>
          <w:noProof/>
          <w:lang w:val="sr-Latn-CS"/>
        </w:rPr>
        <w:tab/>
      </w:r>
      <w:r w:rsidR="0057749B" w:rsidRPr="00A30024">
        <w:rPr>
          <w:rFonts w:ascii="Arial" w:hAnsi="Arial" w:cs="Arial"/>
          <w:noProof/>
          <w:lang w:val="sr-Latn-CS"/>
        </w:rPr>
        <w:tab/>
      </w:r>
    </w:p>
    <w:sectPr w:rsidR="0057749B" w:rsidRPr="00A30024" w:rsidSect="007270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3D3C8B" w14:textId="77777777" w:rsidR="00A4332C" w:rsidRDefault="00A4332C" w:rsidP="00BA7396">
      <w:r>
        <w:separator/>
      </w:r>
    </w:p>
  </w:endnote>
  <w:endnote w:type="continuationSeparator" w:id="0">
    <w:p w14:paraId="25F12B3D" w14:textId="77777777" w:rsidR="00A4332C" w:rsidRDefault="00A4332C" w:rsidP="00BA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3DDBA" w14:textId="77777777" w:rsidR="001B0B5D" w:rsidRDefault="001B0B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3DDBB" w14:textId="77777777" w:rsidR="001B0B5D" w:rsidRDefault="001B0B5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3DDBD" w14:textId="77777777" w:rsidR="001B0B5D" w:rsidRDefault="001B0B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4566A7" w14:textId="77777777" w:rsidR="00A4332C" w:rsidRDefault="00A4332C" w:rsidP="00BA7396">
      <w:r>
        <w:separator/>
      </w:r>
    </w:p>
  </w:footnote>
  <w:footnote w:type="continuationSeparator" w:id="0">
    <w:p w14:paraId="3D499340" w14:textId="77777777" w:rsidR="00A4332C" w:rsidRDefault="00A4332C" w:rsidP="00BA73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3DDB8" w14:textId="77777777" w:rsidR="001B0B5D" w:rsidRDefault="001B0B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3DDB9" w14:textId="77777777" w:rsidR="001B0B5D" w:rsidRDefault="001B0B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3DDBC" w14:textId="77777777" w:rsidR="001B0B5D" w:rsidRDefault="001B0B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C2DAA"/>
    <w:multiLevelType w:val="hybridMultilevel"/>
    <w:tmpl w:val="14684B00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B57D2"/>
    <w:multiLevelType w:val="hybridMultilevel"/>
    <w:tmpl w:val="C696205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A6223"/>
    <w:multiLevelType w:val="multilevel"/>
    <w:tmpl w:val="4B16083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098013A0"/>
    <w:multiLevelType w:val="hybridMultilevel"/>
    <w:tmpl w:val="2DAEBCC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AD3405"/>
    <w:multiLevelType w:val="hybridMultilevel"/>
    <w:tmpl w:val="B3C89CCA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752755"/>
    <w:multiLevelType w:val="hybridMultilevel"/>
    <w:tmpl w:val="4F2A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65F9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6D6F77"/>
    <w:multiLevelType w:val="multilevel"/>
    <w:tmpl w:val="4B16083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13A02868"/>
    <w:multiLevelType w:val="multilevel"/>
    <w:tmpl w:val="CC2E7A72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19480A82"/>
    <w:multiLevelType w:val="hybridMultilevel"/>
    <w:tmpl w:val="907E9CE0"/>
    <w:lvl w:ilvl="0" w:tplc="0409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9">
    <w:nsid w:val="1A5C725B"/>
    <w:multiLevelType w:val="hybridMultilevel"/>
    <w:tmpl w:val="AEF45A62"/>
    <w:lvl w:ilvl="0" w:tplc="D0C015EA">
      <w:start w:val="1"/>
      <w:numFmt w:val="decimal"/>
      <w:pStyle w:val="Heading2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1CF642BB"/>
    <w:multiLevelType w:val="hybridMultilevel"/>
    <w:tmpl w:val="84A6604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7C43E4"/>
    <w:multiLevelType w:val="hybridMultilevel"/>
    <w:tmpl w:val="A5426B4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1F5D2C"/>
    <w:multiLevelType w:val="multilevel"/>
    <w:tmpl w:val="68E220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3">
    <w:nsid w:val="2E3D0805"/>
    <w:multiLevelType w:val="multilevel"/>
    <w:tmpl w:val="A050BA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>
    <w:nsid w:val="38F42989"/>
    <w:multiLevelType w:val="hybridMultilevel"/>
    <w:tmpl w:val="4D0A119E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24022F"/>
    <w:multiLevelType w:val="hybridMultilevel"/>
    <w:tmpl w:val="46EA04F2"/>
    <w:lvl w:ilvl="0" w:tplc="22E2AFA2">
      <w:start w:val="1"/>
      <w:numFmt w:val="decimal"/>
      <w:lvlText w:val="%1)"/>
      <w:lvlJc w:val="left"/>
      <w:pPr>
        <w:ind w:left="989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709" w:hanging="360"/>
      </w:pPr>
    </w:lvl>
    <w:lvl w:ilvl="2" w:tplc="2C1A001B" w:tentative="1">
      <w:start w:val="1"/>
      <w:numFmt w:val="lowerRoman"/>
      <w:lvlText w:val="%3."/>
      <w:lvlJc w:val="right"/>
      <w:pPr>
        <w:ind w:left="2429" w:hanging="180"/>
      </w:pPr>
    </w:lvl>
    <w:lvl w:ilvl="3" w:tplc="2C1A000F" w:tentative="1">
      <w:start w:val="1"/>
      <w:numFmt w:val="decimal"/>
      <w:lvlText w:val="%4."/>
      <w:lvlJc w:val="left"/>
      <w:pPr>
        <w:ind w:left="3149" w:hanging="360"/>
      </w:pPr>
    </w:lvl>
    <w:lvl w:ilvl="4" w:tplc="2C1A0019" w:tentative="1">
      <w:start w:val="1"/>
      <w:numFmt w:val="lowerLetter"/>
      <w:lvlText w:val="%5."/>
      <w:lvlJc w:val="left"/>
      <w:pPr>
        <w:ind w:left="3869" w:hanging="360"/>
      </w:pPr>
    </w:lvl>
    <w:lvl w:ilvl="5" w:tplc="2C1A001B" w:tentative="1">
      <w:start w:val="1"/>
      <w:numFmt w:val="lowerRoman"/>
      <w:lvlText w:val="%6."/>
      <w:lvlJc w:val="right"/>
      <w:pPr>
        <w:ind w:left="4589" w:hanging="180"/>
      </w:pPr>
    </w:lvl>
    <w:lvl w:ilvl="6" w:tplc="2C1A000F" w:tentative="1">
      <w:start w:val="1"/>
      <w:numFmt w:val="decimal"/>
      <w:lvlText w:val="%7."/>
      <w:lvlJc w:val="left"/>
      <w:pPr>
        <w:ind w:left="5309" w:hanging="360"/>
      </w:pPr>
    </w:lvl>
    <w:lvl w:ilvl="7" w:tplc="2C1A0019" w:tentative="1">
      <w:start w:val="1"/>
      <w:numFmt w:val="lowerLetter"/>
      <w:lvlText w:val="%8."/>
      <w:lvlJc w:val="left"/>
      <w:pPr>
        <w:ind w:left="6029" w:hanging="360"/>
      </w:pPr>
    </w:lvl>
    <w:lvl w:ilvl="8" w:tplc="2C1A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16">
    <w:nsid w:val="46991EE8"/>
    <w:multiLevelType w:val="hybridMultilevel"/>
    <w:tmpl w:val="4C221750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>
    <w:nsid w:val="49BC02A2"/>
    <w:multiLevelType w:val="hybridMultilevel"/>
    <w:tmpl w:val="5AE44FA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0A173F"/>
    <w:multiLevelType w:val="multilevel"/>
    <w:tmpl w:val="4B160838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>
    <w:nsid w:val="5CC254D1"/>
    <w:multiLevelType w:val="hybridMultilevel"/>
    <w:tmpl w:val="178C9F2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1509B"/>
    <w:multiLevelType w:val="multilevel"/>
    <w:tmpl w:val="03C4C128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1">
    <w:nsid w:val="60E162BE"/>
    <w:multiLevelType w:val="hybridMultilevel"/>
    <w:tmpl w:val="B14A0D5E"/>
    <w:lvl w:ilvl="0" w:tplc="2C1A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>
    <w:nsid w:val="6BF73942"/>
    <w:multiLevelType w:val="hybridMultilevel"/>
    <w:tmpl w:val="9A58B63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AD80FF7"/>
    <w:multiLevelType w:val="hybridMultilevel"/>
    <w:tmpl w:val="5C84A8B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19"/>
  </w:num>
  <w:num w:numId="5">
    <w:abstractNumId w:val="4"/>
  </w:num>
  <w:num w:numId="6">
    <w:abstractNumId w:val="1"/>
  </w:num>
  <w:num w:numId="7">
    <w:abstractNumId w:val="11"/>
  </w:num>
  <w:num w:numId="8">
    <w:abstractNumId w:val="14"/>
  </w:num>
  <w:num w:numId="9">
    <w:abstractNumId w:val="23"/>
  </w:num>
  <w:num w:numId="10">
    <w:abstractNumId w:val="17"/>
  </w:num>
  <w:num w:numId="11">
    <w:abstractNumId w:val="5"/>
  </w:num>
  <w:num w:numId="12">
    <w:abstractNumId w:val="9"/>
  </w:num>
  <w:num w:numId="13">
    <w:abstractNumId w:val="16"/>
  </w:num>
  <w:num w:numId="14">
    <w:abstractNumId w:val="16"/>
  </w:num>
  <w:num w:numId="15">
    <w:abstractNumId w:val="8"/>
  </w:num>
  <w:num w:numId="16">
    <w:abstractNumId w:val="22"/>
  </w:num>
  <w:num w:numId="17">
    <w:abstractNumId w:val="13"/>
  </w:num>
  <w:num w:numId="18">
    <w:abstractNumId w:val="6"/>
  </w:num>
  <w:num w:numId="19">
    <w:abstractNumId w:val="2"/>
  </w:num>
  <w:num w:numId="20">
    <w:abstractNumId w:val="18"/>
  </w:num>
  <w:num w:numId="21">
    <w:abstractNumId w:val="12"/>
  </w:num>
  <w:num w:numId="22">
    <w:abstractNumId w:val="20"/>
  </w:num>
  <w:num w:numId="23">
    <w:abstractNumId w:val="7"/>
  </w:num>
  <w:num w:numId="24">
    <w:abstractNumId w:val="16"/>
  </w:num>
  <w:num w:numId="25">
    <w:abstractNumId w:val="15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yMLEwtzQwMbC0NDY3MDFU0lEKTi0uzszPAykwrAUAmNdT5CwAAAA="/>
  </w:docVars>
  <w:rsids>
    <w:rsidRoot w:val="00BA7396"/>
    <w:rsid w:val="0000426F"/>
    <w:rsid w:val="000114B5"/>
    <w:rsid w:val="00012321"/>
    <w:rsid w:val="00024B31"/>
    <w:rsid w:val="00032902"/>
    <w:rsid w:val="00033473"/>
    <w:rsid w:val="00043CCD"/>
    <w:rsid w:val="000511F0"/>
    <w:rsid w:val="000562D6"/>
    <w:rsid w:val="000629D8"/>
    <w:rsid w:val="00067FCF"/>
    <w:rsid w:val="000716AC"/>
    <w:rsid w:val="00075306"/>
    <w:rsid w:val="00097277"/>
    <w:rsid w:val="000A496F"/>
    <w:rsid w:val="000A7C68"/>
    <w:rsid w:val="000C5C48"/>
    <w:rsid w:val="000D61C3"/>
    <w:rsid w:val="000D7E32"/>
    <w:rsid w:val="000E0201"/>
    <w:rsid w:val="000E5392"/>
    <w:rsid w:val="000E6B69"/>
    <w:rsid w:val="000E7E95"/>
    <w:rsid w:val="000E7FBD"/>
    <w:rsid w:val="000F05ED"/>
    <w:rsid w:val="000F273A"/>
    <w:rsid w:val="000F3FED"/>
    <w:rsid w:val="000F42E1"/>
    <w:rsid w:val="00110589"/>
    <w:rsid w:val="0012033E"/>
    <w:rsid w:val="00121DC3"/>
    <w:rsid w:val="001225FB"/>
    <w:rsid w:val="00131C47"/>
    <w:rsid w:val="00136DB2"/>
    <w:rsid w:val="00136E1D"/>
    <w:rsid w:val="0014768F"/>
    <w:rsid w:val="00154647"/>
    <w:rsid w:val="00162BB1"/>
    <w:rsid w:val="00181DA7"/>
    <w:rsid w:val="00193ADE"/>
    <w:rsid w:val="00195D3D"/>
    <w:rsid w:val="001A56D1"/>
    <w:rsid w:val="001A5B9E"/>
    <w:rsid w:val="001B0B5D"/>
    <w:rsid w:val="001B668E"/>
    <w:rsid w:val="001C7348"/>
    <w:rsid w:val="001D0BF0"/>
    <w:rsid w:val="001D3648"/>
    <w:rsid w:val="001E1794"/>
    <w:rsid w:val="001E3E69"/>
    <w:rsid w:val="001F4328"/>
    <w:rsid w:val="001F6009"/>
    <w:rsid w:val="002072BA"/>
    <w:rsid w:val="002076CB"/>
    <w:rsid w:val="002251D6"/>
    <w:rsid w:val="00235BF5"/>
    <w:rsid w:val="002378F3"/>
    <w:rsid w:val="002449FB"/>
    <w:rsid w:val="00244B91"/>
    <w:rsid w:val="00253166"/>
    <w:rsid w:val="00267C7D"/>
    <w:rsid w:val="002703B6"/>
    <w:rsid w:val="002711EF"/>
    <w:rsid w:val="00271A2C"/>
    <w:rsid w:val="00282840"/>
    <w:rsid w:val="00284A91"/>
    <w:rsid w:val="002854B6"/>
    <w:rsid w:val="00294662"/>
    <w:rsid w:val="00295023"/>
    <w:rsid w:val="00295DCE"/>
    <w:rsid w:val="002A6869"/>
    <w:rsid w:val="002D7074"/>
    <w:rsid w:val="002D7643"/>
    <w:rsid w:val="002E7569"/>
    <w:rsid w:val="00304A2A"/>
    <w:rsid w:val="00307643"/>
    <w:rsid w:val="00310915"/>
    <w:rsid w:val="00322389"/>
    <w:rsid w:val="00322F4B"/>
    <w:rsid w:val="00357476"/>
    <w:rsid w:val="00357C20"/>
    <w:rsid w:val="003819FF"/>
    <w:rsid w:val="003855E9"/>
    <w:rsid w:val="00386D1D"/>
    <w:rsid w:val="00392F99"/>
    <w:rsid w:val="00393F62"/>
    <w:rsid w:val="00395587"/>
    <w:rsid w:val="00397C9D"/>
    <w:rsid w:val="003A1706"/>
    <w:rsid w:val="003B5577"/>
    <w:rsid w:val="003D1615"/>
    <w:rsid w:val="003E2C66"/>
    <w:rsid w:val="003E5BF1"/>
    <w:rsid w:val="003F334E"/>
    <w:rsid w:val="003F733B"/>
    <w:rsid w:val="0041048E"/>
    <w:rsid w:val="0042033A"/>
    <w:rsid w:val="004210ED"/>
    <w:rsid w:val="00430934"/>
    <w:rsid w:val="004365AF"/>
    <w:rsid w:val="00462498"/>
    <w:rsid w:val="0047459A"/>
    <w:rsid w:val="00482AF7"/>
    <w:rsid w:val="00484ABC"/>
    <w:rsid w:val="00490EEA"/>
    <w:rsid w:val="00494A64"/>
    <w:rsid w:val="004A4396"/>
    <w:rsid w:val="004B549B"/>
    <w:rsid w:val="004B5D4D"/>
    <w:rsid w:val="004B6374"/>
    <w:rsid w:val="004D3BA5"/>
    <w:rsid w:val="004E1351"/>
    <w:rsid w:val="004E62A1"/>
    <w:rsid w:val="004F1EE1"/>
    <w:rsid w:val="004F37B9"/>
    <w:rsid w:val="004F4F9C"/>
    <w:rsid w:val="00502D77"/>
    <w:rsid w:val="00503500"/>
    <w:rsid w:val="00504237"/>
    <w:rsid w:val="0051137E"/>
    <w:rsid w:val="005202F9"/>
    <w:rsid w:val="005354A6"/>
    <w:rsid w:val="0054756C"/>
    <w:rsid w:val="005571C1"/>
    <w:rsid w:val="005604C1"/>
    <w:rsid w:val="0057749B"/>
    <w:rsid w:val="005805F3"/>
    <w:rsid w:val="00582938"/>
    <w:rsid w:val="005926E5"/>
    <w:rsid w:val="005B291D"/>
    <w:rsid w:val="005C4266"/>
    <w:rsid w:val="005D43E5"/>
    <w:rsid w:val="005E318D"/>
    <w:rsid w:val="005E5AF7"/>
    <w:rsid w:val="005E6229"/>
    <w:rsid w:val="005F00B7"/>
    <w:rsid w:val="005F03ED"/>
    <w:rsid w:val="005F283F"/>
    <w:rsid w:val="005F45A5"/>
    <w:rsid w:val="005F5DA3"/>
    <w:rsid w:val="005F613A"/>
    <w:rsid w:val="005F6D49"/>
    <w:rsid w:val="00601210"/>
    <w:rsid w:val="006041AE"/>
    <w:rsid w:val="006129CD"/>
    <w:rsid w:val="00615760"/>
    <w:rsid w:val="00617EAB"/>
    <w:rsid w:val="00641E4C"/>
    <w:rsid w:val="00641FD4"/>
    <w:rsid w:val="006456F5"/>
    <w:rsid w:val="0066272B"/>
    <w:rsid w:val="006664AB"/>
    <w:rsid w:val="006710AA"/>
    <w:rsid w:val="00673F68"/>
    <w:rsid w:val="006766A1"/>
    <w:rsid w:val="00681DE1"/>
    <w:rsid w:val="0069441F"/>
    <w:rsid w:val="006950A7"/>
    <w:rsid w:val="006A1B2C"/>
    <w:rsid w:val="006A3B25"/>
    <w:rsid w:val="006A3B76"/>
    <w:rsid w:val="006A3F7C"/>
    <w:rsid w:val="006B4020"/>
    <w:rsid w:val="006B5E2B"/>
    <w:rsid w:val="006C4C22"/>
    <w:rsid w:val="006C4F93"/>
    <w:rsid w:val="006E488D"/>
    <w:rsid w:val="006E4E97"/>
    <w:rsid w:val="006F1605"/>
    <w:rsid w:val="006F2902"/>
    <w:rsid w:val="00702AEE"/>
    <w:rsid w:val="00702CFF"/>
    <w:rsid w:val="00703364"/>
    <w:rsid w:val="007043B6"/>
    <w:rsid w:val="00705E35"/>
    <w:rsid w:val="00717098"/>
    <w:rsid w:val="00720281"/>
    <w:rsid w:val="00721692"/>
    <w:rsid w:val="00721DB9"/>
    <w:rsid w:val="00721E1A"/>
    <w:rsid w:val="00722885"/>
    <w:rsid w:val="00727085"/>
    <w:rsid w:val="007301F4"/>
    <w:rsid w:val="00733149"/>
    <w:rsid w:val="00736E8D"/>
    <w:rsid w:val="00737408"/>
    <w:rsid w:val="00741A35"/>
    <w:rsid w:val="00751778"/>
    <w:rsid w:val="00751C4D"/>
    <w:rsid w:val="00755B66"/>
    <w:rsid w:val="00762C49"/>
    <w:rsid w:val="00765B1C"/>
    <w:rsid w:val="00773D3A"/>
    <w:rsid w:val="00781DC6"/>
    <w:rsid w:val="0078490F"/>
    <w:rsid w:val="007849D1"/>
    <w:rsid w:val="007909A0"/>
    <w:rsid w:val="007A1C7D"/>
    <w:rsid w:val="007A562E"/>
    <w:rsid w:val="007C12EB"/>
    <w:rsid w:val="007C5D18"/>
    <w:rsid w:val="007D05DC"/>
    <w:rsid w:val="007F0733"/>
    <w:rsid w:val="007F11BC"/>
    <w:rsid w:val="007F45A2"/>
    <w:rsid w:val="00806786"/>
    <w:rsid w:val="0081222E"/>
    <w:rsid w:val="008169A7"/>
    <w:rsid w:val="008230BF"/>
    <w:rsid w:val="008301C9"/>
    <w:rsid w:val="008322D4"/>
    <w:rsid w:val="00833765"/>
    <w:rsid w:val="00836AA6"/>
    <w:rsid w:val="0084050A"/>
    <w:rsid w:val="00840889"/>
    <w:rsid w:val="0085327D"/>
    <w:rsid w:val="008542E3"/>
    <w:rsid w:val="00854AFE"/>
    <w:rsid w:val="008647D8"/>
    <w:rsid w:val="00871235"/>
    <w:rsid w:val="00877AD7"/>
    <w:rsid w:val="00891957"/>
    <w:rsid w:val="00891C94"/>
    <w:rsid w:val="008A2781"/>
    <w:rsid w:val="008B09E9"/>
    <w:rsid w:val="008B50D3"/>
    <w:rsid w:val="008B7699"/>
    <w:rsid w:val="008C0535"/>
    <w:rsid w:val="008C666D"/>
    <w:rsid w:val="008D3487"/>
    <w:rsid w:val="008E4862"/>
    <w:rsid w:val="008E6C79"/>
    <w:rsid w:val="008F0E7B"/>
    <w:rsid w:val="008F309F"/>
    <w:rsid w:val="008F6DA6"/>
    <w:rsid w:val="008F7798"/>
    <w:rsid w:val="00911E66"/>
    <w:rsid w:val="0091493A"/>
    <w:rsid w:val="0094506F"/>
    <w:rsid w:val="009535C3"/>
    <w:rsid w:val="0095681E"/>
    <w:rsid w:val="00960A46"/>
    <w:rsid w:val="00972845"/>
    <w:rsid w:val="0098036D"/>
    <w:rsid w:val="00981466"/>
    <w:rsid w:val="009874EB"/>
    <w:rsid w:val="00990BF1"/>
    <w:rsid w:val="00997D98"/>
    <w:rsid w:val="009A1663"/>
    <w:rsid w:val="009B430B"/>
    <w:rsid w:val="009F3FA9"/>
    <w:rsid w:val="00A05B4A"/>
    <w:rsid w:val="00A07773"/>
    <w:rsid w:val="00A12569"/>
    <w:rsid w:val="00A15167"/>
    <w:rsid w:val="00A251DD"/>
    <w:rsid w:val="00A265F9"/>
    <w:rsid w:val="00A27C31"/>
    <w:rsid w:val="00A30024"/>
    <w:rsid w:val="00A34E9B"/>
    <w:rsid w:val="00A35226"/>
    <w:rsid w:val="00A4332C"/>
    <w:rsid w:val="00A45467"/>
    <w:rsid w:val="00A71595"/>
    <w:rsid w:val="00A84A49"/>
    <w:rsid w:val="00A90A45"/>
    <w:rsid w:val="00A95CA2"/>
    <w:rsid w:val="00AA117E"/>
    <w:rsid w:val="00AA5809"/>
    <w:rsid w:val="00AC029C"/>
    <w:rsid w:val="00AC6578"/>
    <w:rsid w:val="00AD100C"/>
    <w:rsid w:val="00AE5F4D"/>
    <w:rsid w:val="00AE7830"/>
    <w:rsid w:val="00AF54B2"/>
    <w:rsid w:val="00B14F81"/>
    <w:rsid w:val="00B25D29"/>
    <w:rsid w:val="00B2646E"/>
    <w:rsid w:val="00B34FA4"/>
    <w:rsid w:val="00B3542B"/>
    <w:rsid w:val="00B40AA1"/>
    <w:rsid w:val="00B535B4"/>
    <w:rsid w:val="00B54FFF"/>
    <w:rsid w:val="00B553BF"/>
    <w:rsid w:val="00B672BB"/>
    <w:rsid w:val="00B7089B"/>
    <w:rsid w:val="00BA039A"/>
    <w:rsid w:val="00BA04F9"/>
    <w:rsid w:val="00BA7396"/>
    <w:rsid w:val="00BA7877"/>
    <w:rsid w:val="00BC598E"/>
    <w:rsid w:val="00BD4282"/>
    <w:rsid w:val="00BE11B9"/>
    <w:rsid w:val="00BF43F4"/>
    <w:rsid w:val="00C06EC3"/>
    <w:rsid w:val="00C111D8"/>
    <w:rsid w:val="00C149A5"/>
    <w:rsid w:val="00C179F9"/>
    <w:rsid w:val="00C212AE"/>
    <w:rsid w:val="00C32E83"/>
    <w:rsid w:val="00C40B38"/>
    <w:rsid w:val="00C450DD"/>
    <w:rsid w:val="00C458F1"/>
    <w:rsid w:val="00C5148C"/>
    <w:rsid w:val="00C5246F"/>
    <w:rsid w:val="00C549B4"/>
    <w:rsid w:val="00C61723"/>
    <w:rsid w:val="00C630C7"/>
    <w:rsid w:val="00C72668"/>
    <w:rsid w:val="00C75227"/>
    <w:rsid w:val="00C75DF0"/>
    <w:rsid w:val="00C773E3"/>
    <w:rsid w:val="00C87264"/>
    <w:rsid w:val="00C87DA2"/>
    <w:rsid w:val="00C93864"/>
    <w:rsid w:val="00C93F74"/>
    <w:rsid w:val="00CB0FC5"/>
    <w:rsid w:val="00CD32F4"/>
    <w:rsid w:val="00CE5FCE"/>
    <w:rsid w:val="00D014FE"/>
    <w:rsid w:val="00D06D2A"/>
    <w:rsid w:val="00D1523C"/>
    <w:rsid w:val="00D17233"/>
    <w:rsid w:val="00D25692"/>
    <w:rsid w:val="00D2720B"/>
    <w:rsid w:val="00D27C82"/>
    <w:rsid w:val="00D36EDF"/>
    <w:rsid w:val="00D40332"/>
    <w:rsid w:val="00D4308A"/>
    <w:rsid w:val="00D505D4"/>
    <w:rsid w:val="00D708E8"/>
    <w:rsid w:val="00D72A8A"/>
    <w:rsid w:val="00D77412"/>
    <w:rsid w:val="00D775A9"/>
    <w:rsid w:val="00D87041"/>
    <w:rsid w:val="00D87CB1"/>
    <w:rsid w:val="00D94B5F"/>
    <w:rsid w:val="00DA6EEA"/>
    <w:rsid w:val="00DB1891"/>
    <w:rsid w:val="00DB7DAA"/>
    <w:rsid w:val="00DC1978"/>
    <w:rsid w:val="00DD304D"/>
    <w:rsid w:val="00E00BAF"/>
    <w:rsid w:val="00E15B02"/>
    <w:rsid w:val="00E3478E"/>
    <w:rsid w:val="00E41D49"/>
    <w:rsid w:val="00E54555"/>
    <w:rsid w:val="00E54AEA"/>
    <w:rsid w:val="00E57AB2"/>
    <w:rsid w:val="00E60512"/>
    <w:rsid w:val="00E61671"/>
    <w:rsid w:val="00E66260"/>
    <w:rsid w:val="00E721E9"/>
    <w:rsid w:val="00E80201"/>
    <w:rsid w:val="00E8076E"/>
    <w:rsid w:val="00E860B4"/>
    <w:rsid w:val="00E95789"/>
    <w:rsid w:val="00EA4092"/>
    <w:rsid w:val="00EC58BD"/>
    <w:rsid w:val="00ED0AF4"/>
    <w:rsid w:val="00ED0F74"/>
    <w:rsid w:val="00ED4766"/>
    <w:rsid w:val="00EE1CD7"/>
    <w:rsid w:val="00EF1D5B"/>
    <w:rsid w:val="00EF53B5"/>
    <w:rsid w:val="00EF62E7"/>
    <w:rsid w:val="00F00216"/>
    <w:rsid w:val="00F06F77"/>
    <w:rsid w:val="00F14603"/>
    <w:rsid w:val="00F1558B"/>
    <w:rsid w:val="00F155D0"/>
    <w:rsid w:val="00F20105"/>
    <w:rsid w:val="00F30D86"/>
    <w:rsid w:val="00F31CC5"/>
    <w:rsid w:val="00F34423"/>
    <w:rsid w:val="00F4621D"/>
    <w:rsid w:val="00F640B1"/>
    <w:rsid w:val="00F71067"/>
    <w:rsid w:val="00F72683"/>
    <w:rsid w:val="00F7323E"/>
    <w:rsid w:val="00F7433F"/>
    <w:rsid w:val="00F758A3"/>
    <w:rsid w:val="00F829CD"/>
    <w:rsid w:val="00F9030F"/>
    <w:rsid w:val="00F94BDF"/>
    <w:rsid w:val="00F95F7C"/>
    <w:rsid w:val="00F9641C"/>
    <w:rsid w:val="00FA0F86"/>
    <w:rsid w:val="00FA6472"/>
    <w:rsid w:val="00FB5A5C"/>
    <w:rsid w:val="00FB5EE2"/>
    <w:rsid w:val="00FB6BD5"/>
    <w:rsid w:val="00FB7CBA"/>
    <w:rsid w:val="00FC2A13"/>
    <w:rsid w:val="00FE3763"/>
    <w:rsid w:val="00FF1494"/>
    <w:rsid w:val="00FF4C57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23DD41"/>
  <w15:docId w15:val="{DDCDF6BA-19C7-4DCF-BEE8-ADD2A182D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Branko"/>
    <w:qFormat/>
    <w:rsid w:val="00BA7396"/>
    <w:pPr>
      <w:jc w:val="both"/>
    </w:pPr>
    <w:rPr>
      <w:rFonts w:ascii="Garamond" w:eastAsia="Times New Roman" w:hAnsi="Garamond"/>
      <w:bCs/>
      <w:sz w:val="24"/>
      <w:szCs w:val="22"/>
      <w:lang w:val="en-GB" w:eastAsia="en-GB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BA7396"/>
    <w:pPr>
      <w:keepNext/>
      <w:numPr>
        <w:numId w:val="12"/>
      </w:numPr>
      <w:spacing w:before="240" w:after="60"/>
      <w:outlineLvl w:val="1"/>
    </w:pPr>
    <w:rPr>
      <w:rFonts w:ascii="Arial" w:eastAsia="Calibri" w:hAnsi="Arial"/>
      <w:b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BA7396"/>
    <w:rPr>
      <w:rFonts w:ascii="Arial" w:hAnsi="Arial" w:cs="Times New Roman"/>
      <w:b/>
      <w:sz w:val="28"/>
      <w:lang w:val="en-GB" w:eastAsia="en-GB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BA7396"/>
    <w:pPr>
      <w:spacing w:before="40" w:after="40"/>
      <w:jc w:val="left"/>
    </w:pPr>
    <w:rPr>
      <w:rFonts w:ascii="Arial" w:eastAsia="Calibri" w:hAnsi="Arial"/>
      <w:sz w:val="16"/>
      <w:szCs w:val="16"/>
    </w:rPr>
  </w:style>
  <w:style w:type="character" w:customStyle="1" w:styleId="FootnoteTextChar">
    <w:name w:val="Footnote Text Char"/>
    <w:link w:val="FootnoteText"/>
    <w:uiPriority w:val="99"/>
    <w:semiHidden/>
    <w:locked/>
    <w:rsid w:val="00BA7396"/>
    <w:rPr>
      <w:rFonts w:ascii="Arial" w:hAnsi="Arial" w:cs="Times New Roman"/>
      <w:sz w:val="16"/>
      <w:lang w:val="en-GB" w:eastAsia="en-GB"/>
    </w:rPr>
  </w:style>
  <w:style w:type="character" w:styleId="FootnoteReference">
    <w:name w:val="footnote reference"/>
    <w:uiPriority w:val="99"/>
    <w:semiHidden/>
    <w:rsid w:val="00BA7396"/>
    <w:rPr>
      <w:rFonts w:ascii="Garamond" w:hAnsi="Garamond" w:cs="Times New Roman"/>
      <w:sz w:val="20"/>
      <w:vertAlign w:val="superscript"/>
    </w:rPr>
  </w:style>
  <w:style w:type="paragraph" w:styleId="ListParagraph">
    <w:name w:val="List Paragraph"/>
    <w:basedOn w:val="Normal"/>
    <w:uiPriority w:val="99"/>
    <w:qFormat/>
    <w:rsid w:val="00BA7396"/>
    <w:pPr>
      <w:ind w:left="720"/>
    </w:pPr>
  </w:style>
  <w:style w:type="table" w:styleId="TableGrid">
    <w:name w:val="Table Grid"/>
    <w:basedOn w:val="TableNormal"/>
    <w:uiPriority w:val="99"/>
    <w:rsid w:val="00832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pand1">
    <w:name w:val="expand1"/>
    <w:uiPriority w:val="99"/>
    <w:rsid w:val="005F03ED"/>
    <w:rPr>
      <w:rFonts w:ascii="Arial" w:hAnsi="Arial"/>
      <w:vanish/>
      <w:sz w:val="18"/>
    </w:rPr>
  </w:style>
  <w:style w:type="table" w:styleId="LightGrid-Accent5">
    <w:name w:val="Light Grid Accent 5"/>
    <w:basedOn w:val="TableNormal"/>
    <w:uiPriority w:val="99"/>
    <w:rsid w:val="000511F0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067FCF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67FCF"/>
    <w:rPr>
      <w:rFonts w:ascii="Tahoma" w:hAnsi="Tahoma" w:cs="Times New Roman"/>
      <w:sz w:val="16"/>
      <w:lang w:val="en-GB" w:eastAsia="en-GB"/>
    </w:rPr>
  </w:style>
  <w:style w:type="character" w:styleId="CommentReference">
    <w:name w:val="annotation reference"/>
    <w:uiPriority w:val="99"/>
    <w:semiHidden/>
    <w:rsid w:val="001D0BF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1D0BF0"/>
    <w:rPr>
      <w:rFonts w:eastAsia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1D0BF0"/>
    <w:rPr>
      <w:rFonts w:ascii="Garamond" w:hAnsi="Garamond" w:cs="Times New Roman"/>
      <w:sz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D0BF0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1D0BF0"/>
    <w:rPr>
      <w:rFonts w:ascii="Garamond" w:hAnsi="Garamond" w:cs="Times New Roman"/>
      <w:b/>
      <w:sz w:val="20"/>
      <w:lang w:val="en-GB" w:eastAsia="en-GB"/>
    </w:rPr>
  </w:style>
  <w:style w:type="character" w:styleId="Emphasis">
    <w:name w:val="Emphasis"/>
    <w:uiPriority w:val="99"/>
    <w:qFormat/>
    <w:locked/>
    <w:rsid w:val="00B672BB"/>
    <w:rPr>
      <w:rFonts w:cs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3B5577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3B5577"/>
    <w:rPr>
      <w:rFonts w:ascii="Garamond" w:eastAsia="Times New Roman" w:hAnsi="Garamond"/>
      <w:bCs/>
      <w:sz w:val="24"/>
      <w:szCs w:val="22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3B5577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3B5577"/>
    <w:rPr>
      <w:rFonts w:ascii="Garamond" w:eastAsia="Times New Roman" w:hAnsi="Garamond"/>
      <w:bCs/>
      <w:sz w:val="24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573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5</Pages>
  <Words>2551</Words>
  <Characters>14544</Characters>
  <Application>Microsoft Office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Marusic</dc:creator>
  <cp:keywords/>
  <dc:description/>
  <cp:lastModifiedBy>Microsoft account</cp:lastModifiedBy>
  <cp:revision>94</cp:revision>
  <cp:lastPrinted>2025-12-05T12:08:00Z</cp:lastPrinted>
  <dcterms:created xsi:type="dcterms:W3CDTF">2021-01-14T07:46:00Z</dcterms:created>
  <dcterms:modified xsi:type="dcterms:W3CDTF">2025-12-05T12:10:00Z</dcterms:modified>
</cp:coreProperties>
</file>