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CF" w:rsidRPr="00322389" w:rsidRDefault="00790BA0" w:rsidP="00790BA0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790BA0">
        <w:rPr>
          <w:rFonts w:ascii="Arial" w:hAnsi="Arial" w:cs="Arial"/>
          <w:b/>
          <w:color w:val="365F91" w:themeColor="accent1" w:themeShade="BF"/>
          <w:szCs w:val="24"/>
        </w:rPr>
        <w:t>ОБРАЗАЦ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7266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322389" w:rsidRDefault="00790BA0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Cs w:val="24"/>
              </w:rPr>
              <w:t>ИЗВЈЕШТАЈ О АНАЛИЗИ УТИЦАЈА ПРОПИСА ЗА ЛОКАЛНЕ САМОУПРАВЕ</w:t>
            </w:r>
          </w:p>
        </w:tc>
      </w:tr>
      <w:tr w:rsidR="002474AB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474AB" w:rsidRPr="00322389" w:rsidRDefault="00790BA0" w:rsidP="00550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ПРЕДЛАГАЧ ПРОПИСА</w:t>
            </w:r>
          </w:p>
        </w:tc>
        <w:tc>
          <w:tcPr>
            <w:tcW w:w="5598" w:type="dxa"/>
          </w:tcPr>
          <w:p w:rsidR="00790BA0" w:rsidRPr="00790BA0" w:rsidRDefault="00790BA0" w:rsidP="00790BA0">
            <w:pPr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Предсједник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Општине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Никшић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</w:p>
          <w:p w:rsidR="002474AB" w:rsidRDefault="00790BA0" w:rsidP="00790BA0">
            <w:pPr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  <w:lang w:val="sr-Cyrl-ME"/>
              </w:rPr>
            </w:pP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Дирекција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за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имовину</w:t>
            </w:r>
            <w:proofErr w:type="spellEnd"/>
          </w:p>
          <w:p w:rsidR="00FB2418" w:rsidRPr="00FB2418" w:rsidRDefault="00FB2418" w:rsidP="00790BA0">
            <w:pPr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5F91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bCs w:val="0"/>
                <w:szCs w:val="24"/>
                <w:lang w:val="sr-Cyrl-ME"/>
              </w:rPr>
              <w:t>Секретаријат за уређење простора и заштиту животне средине</w:t>
            </w:r>
          </w:p>
        </w:tc>
      </w:tr>
      <w:tr w:rsidR="002474AB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474AB" w:rsidRPr="00322389" w:rsidRDefault="00790BA0" w:rsidP="009E48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НАЗИВ ПРОПИСА</w:t>
            </w:r>
          </w:p>
        </w:tc>
        <w:tc>
          <w:tcPr>
            <w:tcW w:w="5598" w:type="dxa"/>
          </w:tcPr>
          <w:p w:rsidR="002474AB" w:rsidRPr="00BB753E" w:rsidRDefault="00790BA0" w:rsidP="00BB753E">
            <w:pPr>
              <w:tabs>
                <w:tab w:val="left" w:pos="28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Одлука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о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измјени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Одлуке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о 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давању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у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закуп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земљишта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путем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прикупљања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понуда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ради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постављања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привремених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објеката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 у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складу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са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Одлуком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 о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доношењу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програма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привремених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објеката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на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територији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Општине</w:t>
            </w:r>
            <w:proofErr w:type="spellEnd"/>
            <w:r w:rsidRPr="00790BA0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bCs w:val="0"/>
                <w:szCs w:val="24"/>
              </w:rPr>
              <w:t>Никшић</w:t>
            </w:r>
            <w:proofErr w:type="spellEnd"/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90BA0" w:rsidRPr="00790BA0" w:rsidRDefault="00A863F9" w:rsidP="00790B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</w:t>
            </w:r>
            <w:r w:rsidR="00790BA0"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="00790BA0"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Дефинисање</w:t>
            </w:r>
            <w:proofErr w:type="spellEnd"/>
            <w:r w:rsidR="00790BA0"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90BA0"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</w:p>
          <w:p w:rsidR="00790BA0" w:rsidRPr="00790BA0" w:rsidRDefault="00790BA0" w:rsidP="00790B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Навести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законски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стратешки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други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основ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790BA0" w:rsidRPr="00790BA0" w:rsidRDefault="00790BA0" w:rsidP="00790B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прописом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утврђују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сопствене</w:t>
            </w:r>
            <w:proofErr w:type="spellEnd"/>
            <w:proofErr w:type="gram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надлежности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пренесени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повјерени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790BA0" w:rsidRPr="00790BA0" w:rsidRDefault="00790BA0" w:rsidP="00790B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треба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ријеши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акт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790BA0" w:rsidRPr="00790BA0" w:rsidRDefault="00790BA0" w:rsidP="00790B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Дали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димензију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посебни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  <w:p w:rsidR="00790BA0" w:rsidRPr="00790BA0" w:rsidRDefault="00790BA0" w:rsidP="00790B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узроци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790BA0" w:rsidRPr="00790BA0" w:rsidRDefault="00790BA0" w:rsidP="00790B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посљедице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790BA0" w:rsidRPr="00790BA0" w:rsidRDefault="00790BA0" w:rsidP="00790B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субјекти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оштећени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начин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у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којој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мјери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D104AD" w:rsidRDefault="00790BA0" w:rsidP="00790BA0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еволуирао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без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промјене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(“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qуо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”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90BA0" w:rsidRPr="00790BA0" w:rsidRDefault="00790BA0" w:rsidP="00D64F9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Правни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основ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садржан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39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1 и  2 и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40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 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државној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(„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ЦГ“,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21/09 и 40/11),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тачка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локалној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 „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ЦГ“,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r w:rsidR="00D64F9A" w:rsidRPr="00D64F9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2/18, 34/19, 38/20, 50/22 и 84/22</w:t>
            </w: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),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4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и 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29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Уредбе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продаји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давању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ствари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државној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( „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ЦГ“,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број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44/10), 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35 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тачка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и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Статута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 -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Општински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број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31/18);</w:t>
            </w:r>
          </w:p>
          <w:p w:rsidR="00790BA0" w:rsidRPr="00790BA0" w:rsidRDefault="00790BA0" w:rsidP="00790BA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Ријеч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сопственим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надлежностима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790BA0" w:rsidRDefault="00790BA0" w:rsidP="00790BA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Предложеном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измјеном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треба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ријеши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питање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земљишта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локације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предвиђене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Програмом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привремених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објеката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територији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790BA0" w:rsidRPr="00790BA0" w:rsidRDefault="00790BA0" w:rsidP="00790BA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нема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димензију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790BA0" w:rsidRPr="00790BA0" w:rsidRDefault="00790BA0" w:rsidP="00790BA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Узрок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тај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што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доношењем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Програма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привремених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објеката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територији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престао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основ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продужење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земљишта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локацијама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дефинисаним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Програмом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измјеном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предлаже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привремено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790BA0" w:rsidRPr="00790BA0" w:rsidRDefault="00790BA0" w:rsidP="00790BA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Последица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овог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што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без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измјене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могу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закључивати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уговори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досадашњим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закупцима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земљишта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уједно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власници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привремених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објеката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овом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земљишту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 </w:t>
            </w:r>
          </w:p>
          <w:p w:rsidR="00790BA0" w:rsidRPr="00790BA0" w:rsidRDefault="00790BA0" w:rsidP="00790BA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Оштећени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субјекти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власници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привремених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објеката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губи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знатан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убира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основу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9E489E" w:rsidRPr="00C0540E" w:rsidRDefault="00790BA0" w:rsidP="00790BA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 “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qуо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”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постојећи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привремени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објекти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морали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уклонити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чиме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њихови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власници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али</w:t>
            </w:r>
            <w:proofErr w:type="spellEnd"/>
            <w:proofErr w:type="gram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изгубили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остварују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овом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основу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C0540E" w:rsidRPr="00322389" w:rsidRDefault="00C0540E" w:rsidP="00C0540E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36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90BA0" w:rsidRPr="00790BA0" w:rsidRDefault="00790BA0" w:rsidP="00790B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Циљеви</w:t>
            </w:r>
            <w:proofErr w:type="spellEnd"/>
          </w:p>
          <w:p w:rsidR="00790BA0" w:rsidRPr="00790BA0" w:rsidRDefault="00790BA0" w:rsidP="00790B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постижу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прописом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D104AD" w:rsidRDefault="00790BA0" w:rsidP="00790BA0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унапређује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равноправност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90BA0" w:rsidRPr="00790BA0" w:rsidRDefault="00790BA0" w:rsidP="00790BA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привремено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рјешавање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овог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питања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коначне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7000DC" w:rsidRPr="00A863F9" w:rsidRDefault="00790BA0" w:rsidP="00790BA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Ниједан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proofErr w:type="gram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унапређује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равноправност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90BA0" w:rsidRPr="00790BA0" w:rsidRDefault="00790BA0" w:rsidP="00790B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3.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</w:p>
          <w:p w:rsidR="00790BA0" w:rsidRPr="00790BA0" w:rsidRDefault="00790BA0" w:rsidP="00790B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Зашто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неопходан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790BA0" w:rsidRPr="00790BA0" w:rsidRDefault="00790BA0" w:rsidP="00790B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могуће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испуњавање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рјешавање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proofErr w:type="gram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увијек</w:t>
            </w:r>
            <w:proofErr w:type="spellEnd"/>
            <w:proofErr w:type="gram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треба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разматрати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qуо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”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препоручљиво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укључити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нерегулаторну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осим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обавеза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предложеног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9E489E" w:rsidRPr="00D104AD" w:rsidRDefault="00790BA0" w:rsidP="00790BA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преферирану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опцију</w:t>
            </w:r>
            <w:proofErr w:type="spellEnd"/>
            <w:proofErr w:type="gram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?(</w:t>
            </w:r>
            <w:proofErr w:type="spellStart"/>
            <w:proofErr w:type="gram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димензија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преферирана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унапређује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равноправност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: 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међу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женама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мушкарцима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90BA0" w:rsidRPr="00790BA0" w:rsidRDefault="00790BA0" w:rsidP="00790BA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неопходно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јер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продужењем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трајања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земљиште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налазе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привремени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објекти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предвиђени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Програмом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привремених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објеката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територији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пружа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довољно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времена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провођење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законске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процедуре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објекти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евентуално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уврсте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измјене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допуне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Програма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томе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треба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узети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обзир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чињеницу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закупци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највећем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броју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случајева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питању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лица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којима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обављање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неке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дјелатности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привременим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објектима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основни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извор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егзистенције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Закупци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већ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дуги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низ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користе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локације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плаћају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законом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прописане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таксе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накнаде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а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момента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привођења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земљишта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налазе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објекти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приходовати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одређена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средства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3D3FB6" w:rsidRPr="009F37BA" w:rsidRDefault="00790BA0" w:rsidP="00790BA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365F91" w:themeColor="accent1" w:themeShade="BF"/>
              </w:rPr>
            </w:pP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Мимо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  <w:proofErr w:type="gram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нема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других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ријеши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овај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Pr="00790BA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A482D" w:rsidRPr="007A482D" w:rsidRDefault="007A482D" w:rsidP="007A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4.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Анализа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утицаја</w:t>
            </w:r>
            <w:proofErr w:type="spellEnd"/>
          </w:p>
          <w:p w:rsidR="007A482D" w:rsidRPr="007A482D" w:rsidRDefault="007A482D" w:rsidP="007A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кога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највјероватније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набројати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позитивне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негативне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директне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индиректне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7A482D" w:rsidRPr="007A482D" w:rsidRDefault="007A482D" w:rsidP="007A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уштеде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изазвати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грађанима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нарочито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малим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средњим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предузећима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  <w:p w:rsidR="007A482D" w:rsidRPr="007A482D" w:rsidRDefault="007A482D" w:rsidP="007A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позитивне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посљедице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оправдавају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он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створити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7A482D" w:rsidRPr="007A482D" w:rsidRDefault="007A482D" w:rsidP="007A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прописом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подржава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стварање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нових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привредних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субјеката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тржишту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тржишна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конкуренција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A863F9" w:rsidRDefault="007A482D" w:rsidP="007A482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Укључити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процјену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административних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оптерећења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бизнис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баријера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CD7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A482D" w:rsidRPr="007A482D" w:rsidRDefault="007A482D" w:rsidP="007A482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директно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власнике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привремених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објеката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предвиђени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Програмом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привремених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објеката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територији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 </w:t>
            </w:r>
          </w:p>
          <w:p w:rsidR="007A482D" w:rsidRPr="007A482D" w:rsidRDefault="007A482D" w:rsidP="007A482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изазаваће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власницима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привремених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објеката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предвиђени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Програмом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привремених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објеката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територији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у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дијелу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плаћање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земљишту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коме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објекти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налазе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7A482D" w:rsidRPr="007A482D" w:rsidRDefault="007A482D" w:rsidP="007A482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Позитивне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посљедице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оправдавају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он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створити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разлога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што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висина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власници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привремених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објеката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плаћају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незнатна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корист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имају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обављања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дјелатности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истим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с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обзиром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већини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случајева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ово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основни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извор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егзистенције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код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лица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7A482D" w:rsidRPr="007A482D" w:rsidRDefault="007A482D" w:rsidP="007A482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подржава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задржавање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постојећих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привредних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субјеката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а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самим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тим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утиче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тржишну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конкуренцију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B21F55" w:rsidRPr="00B21F55" w:rsidRDefault="007A482D" w:rsidP="007A482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Одлуком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стварају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административна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оптерећења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бизнис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баријере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A482D" w:rsidRPr="007A482D" w:rsidRDefault="007A482D" w:rsidP="007A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5.Процјена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фискалног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утицаја</w:t>
            </w:r>
            <w:proofErr w:type="spellEnd"/>
          </w:p>
          <w:p w:rsidR="007A482D" w:rsidRPr="007A482D" w:rsidRDefault="007A482D" w:rsidP="007A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потребно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обезбјеђење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средстава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у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ком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износу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7A482D" w:rsidRPr="007A482D" w:rsidRDefault="007A482D" w:rsidP="007A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обезбјеђење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средстава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једнократно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одређеног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временског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периода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7A482D" w:rsidRPr="007A482D" w:rsidRDefault="007A482D" w:rsidP="007A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средства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обезбијеђена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текућу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планирана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наредну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7A482D" w:rsidRPr="007A482D" w:rsidRDefault="007A482D" w:rsidP="007A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утиче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висину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јединице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?</w:t>
            </w:r>
            <w:proofErr w:type="gramEnd"/>
          </w:p>
          <w:p w:rsidR="009E489E" w:rsidRPr="00CD7298" w:rsidRDefault="007A482D" w:rsidP="007A482D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потенцијални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корисник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(у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којем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проценту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корисници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могли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мушкарци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а у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којем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може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узрок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неравноправности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између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мушкараца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873AC" w:rsidRPr="003873AC" w:rsidRDefault="003873AC" w:rsidP="003873A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Током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имплементације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предложене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потребно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обезбјеђење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финансијских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средстава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оптине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7A482D" w:rsidRPr="007A482D" w:rsidRDefault="003873AC" w:rsidP="003873A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неопходна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финансијска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средства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обезбијеђена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текућу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планирана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наредну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873A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годину;</w:t>
            </w:r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Имлементацијом</w:t>
            </w:r>
            <w:proofErr w:type="spellEnd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остварити</w:t>
            </w:r>
            <w:proofErr w:type="spellEnd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</w:t>
            </w:r>
            <w:proofErr w:type="spellEnd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јединицу</w:t>
            </w:r>
            <w:proofErr w:type="spellEnd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у </w:t>
            </w:r>
            <w:proofErr w:type="spellStart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зависности</w:t>
            </w:r>
            <w:proofErr w:type="spellEnd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процијењене</w:t>
            </w:r>
            <w:proofErr w:type="spellEnd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цијене</w:t>
            </w:r>
            <w:proofErr w:type="spellEnd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закупа</w:t>
            </w:r>
            <w:proofErr w:type="spellEnd"/>
            <w:r w:rsidR="007A482D"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0A2DE6" w:rsidRPr="000A2DE6" w:rsidRDefault="007A482D" w:rsidP="007A482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може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узрок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неравноправности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између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мушкараца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A482D" w:rsidRPr="007A482D" w:rsidRDefault="007A482D" w:rsidP="007A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6.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страна</w:t>
            </w:r>
            <w:proofErr w:type="spellEnd"/>
          </w:p>
          <w:p w:rsidR="007A482D" w:rsidRPr="007A482D" w:rsidRDefault="007A482D" w:rsidP="007A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Назначити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коришћена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екстерна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експертска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подршка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ако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7A482D" w:rsidRPr="007A482D" w:rsidRDefault="007A482D" w:rsidP="007A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Назначити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групе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консултоване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у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којој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фази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РИА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процеса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јавне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циљане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7A482D" w:rsidRPr="007A482D" w:rsidRDefault="007A482D" w:rsidP="007A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представнице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женских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удружења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укључене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7A482D" w:rsidP="007A482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Назначити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главне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резултате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и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предлози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сугестије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прихваћени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прихваћени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7A482D" w:rsidRPr="007A482D" w:rsidRDefault="007A482D" w:rsidP="007A482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израде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предложеног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коришћена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експертска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подршка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вршене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B21F55" w:rsidRDefault="007A482D" w:rsidP="007A482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Представнице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женских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удружења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укључене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A482D" w:rsidRPr="007A482D" w:rsidRDefault="007A482D" w:rsidP="007A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7. 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Мониторинг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евалуација</w:t>
            </w:r>
            <w:proofErr w:type="spellEnd"/>
          </w:p>
          <w:p w:rsidR="007A482D" w:rsidRPr="007A482D" w:rsidRDefault="007A482D" w:rsidP="007A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потенцијалне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препреке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7A482D" w:rsidRPr="007A482D" w:rsidRDefault="007A482D" w:rsidP="007A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главни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индикатори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према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којима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мјерити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испуњење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C07A0F" w:rsidRDefault="007A482D" w:rsidP="007A482D">
            <w:p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</w:t>
            </w:r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задужен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спровођење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мониторинга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евалуације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7A482D" w:rsidRPr="007A482D" w:rsidRDefault="007A482D" w:rsidP="007A482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Потенцијалне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препреке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реализацију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предложених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0511F0" w:rsidRDefault="007A482D" w:rsidP="007A48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спровођење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мониторинга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евалуацију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у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оквиру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своје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надлежности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биће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задужен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орган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управе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надлежан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орган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управе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надлежан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послове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уређења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простора</w:t>
            </w:r>
            <w:proofErr w:type="spellEnd"/>
            <w:r w:rsidRPr="007A482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AB16F2" w:rsidRDefault="00AB16F2" w:rsidP="00C07A0F">
      <w:pPr>
        <w:rPr>
          <w:rFonts w:ascii="Arial" w:hAnsi="Arial" w:cs="Arial"/>
          <w:b/>
        </w:rPr>
      </w:pPr>
    </w:p>
    <w:p w:rsidR="007A482D" w:rsidRPr="007A482D" w:rsidRDefault="007A482D" w:rsidP="007A482D">
      <w:pPr>
        <w:rPr>
          <w:rFonts w:ascii="Arial" w:hAnsi="Arial" w:cs="Arial"/>
          <w:b/>
        </w:rPr>
      </w:pPr>
      <w:proofErr w:type="spellStart"/>
      <w:r w:rsidRPr="007A482D">
        <w:rPr>
          <w:rFonts w:ascii="Arial" w:hAnsi="Arial" w:cs="Arial"/>
          <w:b/>
        </w:rPr>
        <w:t>Датум</w:t>
      </w:r>
      <w:proofErr w:type="spellEnd"/>
      <w:r w:rsidRPr="007A482D">
        <w:rPr>
          <w:rFonts w:ascii="Arial" w:hAnsi="Arial" w:cs="Arial"/>
          <w:b/>
        </w:rPr>
        <w:t xml:space="preserve"> и </w:t>
      </w:r>
      <w:proofErr w:type="spellStart"/>
      <w:r w:rsidRPr="007A482D">
        <w:rPr>
          <w:rFonts w:ascii="Arial" w:hAnsi="Arial" w:cs="Arial"/>
          <w:b/>
        </w:rPr>
        <w:t>мјесто</w:t>
      </w:r>
      <w:proofErr w:type="spellEnd"/>
      <w:r w:rsidRPr="007A482D">
        <w:rPr>
          <w:rFonts w:ascii="Arial" w:hAnsi="Arial" w:cs="Arial"/>
          <w:b/>
        </w:rPr>
        <w:tab/>
      </w:r>
      <w:r w:rsidRPr="007A482D">
        <w:rPr>
          <w:rFonts w:ascii="Arial" w:hAnsi="Arial" w:cs="Arial"/>
          <w:b/>
        </w:rPr>
        <w:tab/>
      </w:r>
      <w:r w:rsidRPr="007A482D">
        <w:rPr>
          <w:rFonts w:ascii="Arial" w:hAnsi="Arial" w:cs="Arial"/>
          <w:b/>
        </w:rPr>
        <w:tab/>
      </w:r>
      <w:r w:rsidRPr="007A482D">
        <w:rPr>
          <w:rFonts w:ascii="Arial" w:hAnsi="Arial" w:cs="Arial"/>
          <w:b/>
        </w:rPr>
        <w:tab/>
      </w:r>
      <w:r w:rsidRPr="007A482D">
        <w:rPr>
          <w:rFonts w:ascii="Arial" w:hAnsi="Arial" w:cs="Arial"/>
          <w:b/>
        </w:rPr>
        <w:tab/>
        <w:t xml:space="preserve">   </w:t>
      </w:r>
      <w:r w:rsidRPr="007A482D">
        <w:rPr>
          <w:rFonts w:ascii="Arial" w:hAnsi="Arial" w:cs="Arial"/>
          <w:b/>
        </w:rPr>
        <w:tab/>
      </w:r>
      <w:r w:rsidRPr="007A482D">
        <w:rPr>
          <w:rFonts w:ascii="Arial" w:hAnsi="Arial" w:cs="Arial"/>
          <w:b/>
        </w:rPr>
        <w:tab/>
        <w:t>ДИРЕКТОР</w:t>
      </w:r>
    </w:p>
    <w:p w:rsidR="004649D5" w:rsidRPr="004649D5" w:rsidRDefault="007A482D" w:rsidP="007A482D">
      <w:pPr>
        <w:rPr>
          <w:rFonts w:ascii="Arial" w:hAnsi="Arial" w:cs="Arial"/>
          <w:b/>
        </w:rPr>
      </w:pPr>
      <w:proofErr w:type="spellStart"/>
      <w:proofErr w:type="gramStart"/>
      <w:r w:rsidRPr="007A482D">
        <w:rPr>
          <w:rFonts w:ascii="Arial" w:hAnsi="Arial" w:cs="Arial"/>
          <w:b/>
        </w:rPr>
        <w:t>Никшић</w:t>
      </w:r>
      <w:proofErr w:type="spellEnd"/>
      <w:r w:rsidRPr="007A482D">
        <w:rPr>
          <w:rFonts w:ascii="Arial" w:hAnsi="Arial" w:cs="Arial"/>
          <w:b/>
        </w:rPr>
        <w:t xml:space="preserve">, </w:t>
      </w:r>
      <w:r w:rsidR="00C0540E">
        <w:rPr>
          <w:rFonts w:ascii="Arial" w:hAnsi="Arial" w:cs="Arial"/>
          <w:b/>
        </w:rPr>
        <w:t>21.09</w:t>
      </w:r>
      <w:bookmarkStart w:id="0" w:name="_GoBack"/>
      <w:bookmarkEnd w:id="0"/>
      <w:r w:rsidRPr="007A482D">
        <w:rPr>
          <w:rFonts w:ascii="Arial" w:hAnsi="Arial" w:cs="Arial"/>
          <w:b/>
        </w:rPr>
        <w:t>.2022.</w:t>
      </w:r>
      <w:proofErr w:type="gramEnd"/>
      <w:r w:rsidRPr="007A482D">
        <w:rPr>
          <w:rFonts w:ascii="Arial" w:hAnsi="Arial" w:cs="Arial"/>
          <w:b/>
        </w:rPr>
        <w:t xml:space="preserve"> </w:t>
      </w:r>
      <w:proofErr w:type="spellStart"/>
      <w:proofErr w:type="gramStart"/>
      <w:r w:rsidRPr="007A482D">
        <w:rPr>
          <w:rFonts w:ascii="Arial" w:hAnsi="Arial" w:cs="Arial"/>
          <w:b/>
        </w:rPr>
        <w:t>године</w:t>
      </w:r>
      <w:proofErr w:type="spellEnd"/>
      <w:proofErr w:type="gramEnd"/>
      <w:r w:rsidRPr="007A482D">
        <w:rPr>
          <w:rFonts w:ascii="Arial" w:hAnsi="Arial" w:cs="Arial"/>
          <w:b/>
        </w:rPr>
        <w:t xml:space="preserve">    </w:t>
      </w:r>
      <w:r w:rsidRPr="007A482D">
        <w:rPr>
          <w:rFonts w:ascii="Arial" w:hAnsi="Arial" w:cs="Arial"/>
          <w:b/>
        </w:rPr>
        <w:tab/>
        <w:t xml:space="preserve">      </w:t>
      </w:r>
      <w:r w:rsidRPr="007A482D">
        <w:rPr>
          <w:rFonts w:ascii="Arial" w:hAnsi="Arial" w:cs="Arial"/>
          <w:b/>
        </w:rPr>
        <w:tab/>
      </w:r>
      <w:r w:rsidRPr="007A482D">
        <w:rPr>
          <w:rFonts w:ascii="Arial" w:hAnsi="Arial" w:cs="Arial"/>
          <w:b/>
        </w:rPr>
        <w:tab/>
      </w:r>
      <w:r w:rsidRPr="007A482D">
        <w:rPr>
          <w:rFonts w:ascii="Arial" w:hAnsi="Arial" w:cs="Arial"/>
          <w:b/>
        </w:rPr>
        <w:tab/>
        <w:t xml:space="preserve">        </w:t>
      </w:r>
      <w:proofErr w:type="spellStart"/>
      <w:r w:rsidRPr="007A482D">
        <w:rPr>
          <w:rFonts w:ascii="Arial" w:hAnsi="Arial" w:cs="Arial"/>
          <w:b/>
        </w:rPr>
        <w:t>Радосав</w:t>
      </w:r>
      <w:proofErr w:type="spellEnd"/>
      <w:r w:rsidRPr="007A482D">
        <w:rPr>
          <w:rFonts w:ascii="Arial" w:hAnsi="Arial" w:cs="Arial"/>
          <w:b/>
        </w:rPr>
        <w:t xml:space="preserve"> </w:t>
      </w:r>
      <w:proofErr w:type="spellStart"/>
      <w:r w:rsidRPr="007A482D">
        <w:rPr>
          <w:rFonts w:ascii="Arial" w:hAnsi="Arial" w:cs="Arial"/>
          <w:b/>
        </w:rPr>
        <w:t>Урошевић</w:t>
      </w:r>
      <w:proofErr w:type="spellEnd"/>
    </w:p>
    <w:p w:rsidR="004649D5" w:rsidRPr="004649D5" w:rsidRDefault="004649D5" w:rsidP="004649D5">
      <w:pPr>
        <w:rPr>
          <w:rFonts w:ascii="Arial" w:hAnsi="Arial" w:cs="Arial"/>
          <w:b/>
        </w:rPr>
      </w:pPr>
    </w:p>
    <w:p w:rsidR="007A482D" w:rsidRPr="007A482D" w:rsidRDefault="004649D5" w:rsidP="007A482D">
      <w:pPr>
        <w:rPr>
          <w:rFonts w:ascii="Arial" w:hAnsi="Arial" w:cs="Arial"/>
          <w:b/>
        </w:rPr>
      </w:pPr>
      <w:r w:rsidRPr="004649D5">
        <w:rPr>
          <w:rFonts w:ascii="Arial" w:hAnsi="Arial" w:cs="Arial"/>
          <w:b/>
        </w:rPr>
        <w:tab/>
      </w:r>
      <w:r w:rsidRPr="004649D5">
        <w:rPr>
          <w:rFonts w:ascii="Arial" w:hAnsi="Arial" w:cs="Arial"/>
          <w:b/>
        </w:rPr>
        <w:tab/>
      </w:r>
      <w:r w:rsidRPr="004649D5">
        <w:rPr>
          <w:rFonts w:ascii="Arial" w:hAnsi="Arial" w:cs="Arial"/>
          <w:b/>
        </w:rPr>
        <w:tab/>
      </w:r>
      <w:r w:rsidRPr="004649D5">
        <w:rPr>
          <w:rFonts w:ascii="Arial" w:hAnsi="Arial" w:cs="Arial"/>
          <w:b/>
        </w:rPr>
        <w:tab/>
      </w:r>
      <w:r w:rsidRPr="004649D5">
        <w:rPr>
          <w:rFonts w:ascii="Arial" w:hAnsi="Arial" w:cs="Arial"/>
          <w:b/>
        </w:rPr>
        <w:tab/>
      </w:r>
      <w:r w:rsidRPr="004649D5">
        <w:rPr>
          <w:rFonts w:ascii="Arial" w:hAnsi="Arial" w:cs="Arial"/>
          <w:b/>
        </w:rPr>
        <w:tab/>
      </w:r>
      <w:r w:rsidRPr="004649D5">
        <w:rPr>
          <w:rFonts w:ascii="Arial" w:hAnsi="Arial" w:cs="Arial"/>
          <w:b/>
        </w:rPr>
        <w:tab/>
      </w:r>
      <w:r w:rsidRPr="004649D5">
        <w:rPr>
          <w:rFonts w:ascii="Arial" w:hAnsi="Arial" w:cs="Arial"/>
          <w:b/>
        </w:rPr>
        <w:tab/>
      </w:r>
      <w:r w:rsidRPr="004649D5">
        <w:rPr>
          <w:rFonts w:ascii="Arial" w:hAnsi="Arial" w:cs="Arial"/>
          <w:b/>
        </w:rPr>
        <w:tab/>
        <w:t xml:space="preserve">  </w:t>
      </w:r>
      <w:r w:rsidR="007A482D" w:rsidRPr="007A482D">
        <w:rPr>
          <w:rFonts w:ascii="Arial" w:hAnsi="Arial" w:cs="Arial"/>
          <w:b/>
        </w:rPr>
        <w:t>СЕКРЕТАР</w:t>
      </w:r>
    </w:p>
    <w:p w:rsidR="00AB16F2" w:rsidRPr="00AB16F2" w:rsidRDefault="007A482D" w:rsidP="007A482D">
      <w:pPr>
        <w:rPr>
          <w:rFonts w:ascii="Arial" w:hAnsi="Arial" w:cs="Arial"/>
          <w:color w:val="365F91" w:themeColor="accent1" w:themeShade="BF"/>
        </w:rPr>
      </w:pPr>
      <w:r w:rsidRPr="007A482D">
        <w:rPr>
          <w:rFonts w:ascii="Arial" w:hAnsi="Arial" w:cs="Arial"/>
          <w:b/>
        </w:rPr>
        <w:tab/>
      </w:r>
      <w:r w:rsidRPr="007A482D">
        <w:rPr>
          <w:rFonts w:ascii="Arial" w:hAnsi="Arial" w:cs="Arial"/>
          <w:b/>
        </w:rPr>
        <w:tab/>
      </w:r>
      <w:r w:rsidRPr="007A482D">
        <w:rPr>
          <w:rFonts w:ascii="Arial" w:hAnsi="Arial" w:cs="Arial"/>
          <w:b/>
        </w:rPr>
        <w:tab/>
      </w:r>
      <w:r w:rsidRPr="007A482D">
        <w:rPr>
          <w:rFonts w:ascii="Arial" w:hAnsi="Arial" w:cs="Arial"/>
          <w:b/>
        </w:rPr>
        <w:tab/>
      </w:r>
      <w:r w:rsidRPr="007A482D">
        <w:rPr>
          <w:rFonts w:ascii="Arial" w:hAnsi="Arial" w:cs="Arial"/>
          <w:b/>
        </w:rPr>
        <w:tab/>
      </w:r>
      <w:r w:rsidRPr="007A482D">
        <w:rPr>
          <w:rFonts w:ascii="Arial" w:hAnsi="Arial" w:cs="Arial"/>
          <w:b/>
        </w:rPr>
        <w:tab/>
      </w:r>
      <w:r w:rsidRPr="007A482D">
        <w:rPr>
          <w:rFonts w:ascii="Arial" w:hAnsi="Arial" w:cs="Arial"/>
          <w:b/>
        </w:rPr>
        <w:tab/>
      </w:r>
      <w:r w:rsidRPr="007A482D">
        <w:rPr>
          <w:rFonts w:ascii="Arial" w:hAnsi="Arial" w:cs="Arial"/>
          <w:b/>
        </w:rPr>
        <w:tab/>
        <w:t xml:space="preserve">        </w:t>
      </w:r>
      <w:proofErr w:type="spellStart"/>
      <w:r w:rsidRPr="007A482D">
        <w:rPr>
          <w:rFonts w:ascii="Arial" w:hAnsi="Arial" w:cs="Arial"/>
          <w:b/>
        </w:rPr>
        <w:t>Ђорђије</w:t>
      </w:r>
      <w:proofErr w:type="spellEnd"/>
      <w:r w:rsidRPr="007A482D">
        <w:rPr>
          <w:rFonts w:ascii="Arial" w:hAnsi="Arial" w:cs="Arial"/>
          <w:b/>
        </w:rPr>
        <w:t xml:space="preserve"> </w:t>
      </w:r>
      <w:proofErr w:type="spellStart"/>
      <w:r w:rsidRPr="007A482D">
        <w:rPr>
          <w:rFonts w:ascii="Arial" w:hAnsi="Arial" w:cs="Arial"/>
          <w:b/>
        </w:rPr>
        <w:t>Манојловић</w:t>
      </w:r>
      <w:proofErr w:type="spellEnd"/>
    </w:p>
    <w:sectPr w:rsidR="00AB16F2" w:rsidRPr="00AB16F2" w:rsidSect="00AB16F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0B" w:rsidRDefault="004A1E0B" w:rsidP="00BA7396">
      <w:r>
        <w:separator/>
      </w:r>
    </w:p>
  </w:endnote>
  <w:endnote w:type="continuationSeparator" w:id="0">
    <w:p w:rsidR="004A1E0B" w:rsidRDefault="004A1E0B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0B" w:rsidRDefault="004A1E0B" w:rsidP="00BA7396">
      <w:r>
        <w:separator/>
      </w:r>
    </w:p>
  </w:footnote>
  <w:footnote w:type="continuationSeparator" w:id="0">
    <w:p w:rsidR="004A1E0B" w:rsidRDefault="004A1E0B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511F0"/>
    <w:rsid w:val="000629D8"/>
    <w:rsid w:val="00067FCF"/>
    <w:rsid w:val="000716AC"/>
    <w:rsid w:val="00075306"/>
    <w:rsid w:val="000A1BF5"/>
    <w:rsid w:val="000A2DE6"/>
    <w:rsid w:val="000E1AC1"/>
    <w:rsid w:val="000E5392"/>
    <w:rsid w:val="000E7E95"/>
    <w:rsid w:val="00113169"/>
    <w:rsid w:val="00136E1D"/>
    <w:rsid w:val="00154647"/>
    <w:rsid w:val="00162BB1"/>
    <w:rsid w:val="00181002"/>
    <w:rsid w:val="001A71D8"/>
    <w:rsid w:val="001C7348"/>
    <w:rsid w:val="001D0BF0"/>
    <w:rsid w:val="001D4D04"/>
    <w:rsid w:val="001E1794"/>
    <w:rsid w:val="002072BA"/>
    <w:rsid w:val="00215E2C"/>
    <w:rsid w:val="002173FA"/>
    <w:rsid w:val="00235BF5"/>
    <w:rsid w:val="002474AB"/>
    <w:rsid w:val="0025076F"/>
    <w:rsid w:val="00267C7D"/>
    <w:rsid w:val="00282840"/>
    <w:rsid w:val="002829DE"/>
    <w:rsid w:val="00284A91"/>
    <w:rsid w:val="00294662"/>
    <w:rsid w:val="00295023"/>
    <w:rsid w:val="002A07CA"/>
    <w:rsid w:val="002A6869"/>
    <w:rsid w:val="002C0B7F"/>
    <w:rsid w:val="002E7569"/>
    <w:rsid w:val="00310915"/>
    <w:rsid w:val="00310EEE"/>
    <w:rsid w:val="00322389"/>
    <w:rsid w:val="00330FF8"/>
    <w:rsid w:val="00357476"/>
    <w:rsid w:val="0037502D"/>
    <w:rsid w:val="00375B76"/>
    <w:rsid w:val="003873AC"/>
    <w:rsid w:val="00392F99"/>
    <w:rsid w:val="00395587"/>
    <w:rsid w:val="003D3FB6"/>
    <w:rsid w:val="003F334E"/>
    <w:rsid w:val="00421C05"/>
    <w:rsid w:val="004649D5"/>
    <w:rsid w:val="0047459A"/>
    <w:rsid w:val="004A1E0B"/>
    <w:rsid w:val="004A4396"/>
    <w:rsid w:val="004B549B"/>
    <w:rsid w:val="004D7305"/>
    <w:rsid w:val="004E1351"/>
    <w:rsid w:val="004F4F9C"/>
    <w:rsid w:val="00504237"/>
    <w:rsid w:val="0054756C"/>
    <w:rsid w:val="005505CD"/>
    <w:rsid w:val="005602EB"/>
    <w:rsid w:val="00570A84"/>
    <w:rsid w:val="005805F3"/>
    <w:rsid w:val="00587BD6"/>
    <w:rsid w:val="005A2EBD"/>
    <w:rsid w:val="005C4266"/>
    <w:rsid w:val="005F00B7"/>
    <w:rsid w:val="005F03ED"/>
    <w:rsid w:val="005F6D49"/>
    <w:rsid w:val="00601210"/>
    <w:rsid w:val="006129CD"/>
    <w:rsid w:val="006710AA"/>
    <w:rsid w:val="00673F68"/>
    <w:rsid w:val="00681DE1"/>
    <w:rsid w:val="00691E63"/>
    <w:rsid w:val="006A1B2C"/>
    <w:rsid w:val="006A3B25"/>
    <w:rsid w:val="006A3B76"/>
    <w:rsid w:val="006B4020"/>
    <w:rsid w:val="006C4F93"/>
    <w:rsid w:val="006E0761"/>
    <w:rsid w:val="006E4E97"/>
    <w:rsid w:val="006F1605"/>
    <w:rsid w:val="007000DC"/>
    <w:rsid w:val="00702CFF"/>
    <w:rsid w:val="007043B6"/>
    <w:rsid w:val="00705E35"/>
    <w:rsid w:val="00721DB9"/>
    <w:rsid w:val="00733149"/>
    <w:rsid w:val="00734E65"/>
    <w:rsid w:val="00736E8D"/>
    <w:rsid w:val="00741A35"/>
    <w:rsid w:val="00751A33"/>
    <w:rsid w:val="00790BA0"/>
    <w:rsid w:val="007A1C7D"/>
    <w:rsid w:val="007A482D"/>
    <w:rsid w:val="007C12EB"/>
    <w:rsid w:val="007D05DC"/>
    <w:rsid w:val="007E5C61"/>
    <w:rsid w:val="007E7A0E"/>
    <w:rsid w:val="008047E8"/>
    <w:rsid w:val="008169A7"/>
    <w:rsid w:val="008301C9"/>
    <w:rsid w:val="008322D4"/>
    <w:rsid w:val="00833765"/>
    <w:rsid w:val="0085327D"/>
    <w:rsid w:val="00871235"/>
    <w:rsid w:val="00881042"/>
    <w:rsid w:val="00882BFB"/>
    <w:rsid w:val="008A2781"/>
    <w:rsid w:val="008A5476"/>
    <w:rsid w:val="008B09E9"/>
    <w:rsid w:val="008C0535"/>
    <w:rsid w:val="008C50CA"/>
    <w:rsid w:val="008E33E6"/>
    <w:rsid w:val="008E4862"/>
    <w:rsid w:val="008E6C79"/>
    <w:rsid w:val="008E75A4"/>
    <w:rsid w:val="00935411"/>
    <w:rsid w:val="00944EC8"/>
    <w:rsid w:val="009535C3"/>
    <w:rsid w:val="00960A46"/>
    <w:rsid w:val="00972845"/>
    <w:rsid w:val="00981466"/>
    <w:rsid w:val="009874EB"/>
    <w:rsid w:val="009E489E"/>
    <w:rsid w:val="009F37BA"/>
    <w:rsid w:val="009F43DC"/>
    <w:rsid w:val="00A07773"/>
    <w:rsid w:val="00A265F9"/>
    <w:rsid w:val="00A3573A"/>
    <w:rsid w:val="00A538DC"/>
    <w:rsid w:val="00A554D8"/>
    <w:rsid w:val="00A71595"/>
    <w:rsid w:val="00A863F9"/>
    <w:rsid w:val="00AA0043"/>
    <w:rsid w:val="00AA117E"/>
    <w:rsid w:val="00AB16F2"/>
    <w:rsid w:val="00AC6578"/>
    <w:rsid w:val="00AD100C"/>
    <w:rsid w:val="00AD48A3"/>
    <w:rsid w:val="00B21F55"/>
    <w:rsid w:val="00B2646E"/>
    <w:rsid w:val="00B40AA1"/>
    <w:rsid w:val="00B535B4"/>
    <w:rsid w:val="00B5453D"/>
    <w:rsid w:val="00B7089B"/>
    <w:rsid w:val="00B745B3"/>
    <w:rsid w:val="00B763F3"/>
    <w:rsid w:val="00BA7396"/>
    <w:rsid w:val="00BA7877"/>
    <w:rsid w:val="00BB753E"/>
    <w:rsid w:val="00BB7FE5"/>
    <w:rsid w:val="00BC4165"/>
    <w:rsid w:val="00BD4282"/>
    <w:rsid w:val="00BE11B9"/>
    <w:rsid w:val="00C0540E"/>
    <w:rsid w:val="00C07A0F"/>
    <w:rsid w:val="00C10D31"/>
    <w:rsid w:val="00C111D8"/>
    <w:rsid w:val="00C179F9"/>
    <w:rsid w:val="00C450DD"/>
    <w:rsid w:val="00C4768D"/>
    <w:rsid w:val="00C5148C"/>
    <w:rsid w:val="00C549B4"/>
    <w:rsid w:val="00C6561D"/>
    <w:rsid w:val="00C72668"/>
    <w:rsid w:val="00C75DF0"/>
    <w:rsid w:val="00C773E3"/>
    <w:rsid w:val="00C87DA2"/>
    <w:rsid w:val="00C96017"/>
    <w:rsid w:val="00CC63BD"/>
    <w:rsid w:val="00CD676C"/>
    <w:rsid w:val="00CD7298"/>
    <w:rsid w:val="00D06D2A"/>
    <w:rsid w:val="00D104AD"/>
    <w:rsid w:val="00D25692"/>
    <w:rsid w:val="00D27C82"/>
    <w:rsid w:val="00D4308A"/>
    <w:rsid w:val="00D4705A"/>
    <w:rsid w:val="00D64F9A"/>
    <w:rsid w:val="00D7389C"/>
    <w:rsid w:val="00D87CB1"/>
    <w:rsid w:val="00D93275"/>
    <w:rsid w:val="00DF5EA1"/>
    <w:rsid w:val="00DF74CC"/>
    <w:rsid w:val="00E02377"/>
    <w:rsid w:val="00E3478E"/>
    <w:rsid w:val="00E61671"/>
    <w:rsid w:val="00E721E9"/>
    <w:rsid w:val="00ED0AF4"/>
    <w:rsid w:val="00ED0F74"/>
    <w:rsid w:val="00ED4766"/>
    <w:rsid w:val="00EE0637"/>
    <w:rsid w:val="00F20105"/>
    <w:rsid w:val="00F72683"/>
    <w:rsid w:val="00F7433F"/>
    <w:rsid w:val="00F829CD"/>
    <w:rsid w:val="00FA0BC1"/>
    <w:rsid w:val="00FA2946"/>
    <w:rsid w:val="00FB2418"/>
    <w:rsid w:val="00FB6BD5"/>
    <w:rsid w:val="00FB7CBA"/>
    <w:rsid w:val="00FC367E"/>
    <w:rsid w:val="00FC3B2C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DDB0-2BFF-4E34-81EB-E67056E4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Rada</cp:lastModifiedBy>
  <cp:revision>21</cp:revision>
  <cp:lastPrinted>2022-09-21T07:40:00Z</cp:lastPrinted>
  <dcterms:created xsi:type="dcterms:W3CDTF">2022-06-06T11:44:00Z</dcterms:created>
  <dcterms:modified xsi:type="dcterms:W3CDTF">2022-09-21T07:43:00Z</dcterms:modified>
</cp:coreProperties>
</file>