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FCF" w:rsidRPr="00322389" w:rsidRDefault="0076682A" w:rsidP="00790BA0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365F91" w:themeColor="accent1" w:themeShade="BF"/>
          <w:sz w:val="20"/>
          <w:szCs w:val="20"/>
        </w:rPr>
      </w:pPr>
      <w:r w:rsidRPr="0076682A">
        <w:rPr>
          <w:rFonts w:ascii="Arial" w:hAnsi="Arial" w:cs="Arial"/>
          <w:b/>
          <w:color w:val="365F91" w:themeColor="accent1" w:themeShade="BF"/>
          <w:szCs w:val="24"/>
        </w:rPr>
        <w:t>OBRAZAC</w:t>
      </w:r>
    </w:p>
    <w:tbl>
      <w:tblPr>
        <w:tblStyle w:val="LightGrid-Accent5"/>
        <w:tblW w:w="0" w:type="auto"/>
        <w:tblLook w:val="04A0" w:firstRow="1" w:lastRow="0" w:firstColumn="1" w:lastColumn="0" w:noHBand="0" w:noVBand="1"/>
      </w:tblPr>
      <w:tblGrid>
        <w:gridCol w:w="3978"/>
        <w:gridCol w:w="5598"/>
      </w:tblGrid>
      <w:tr w:rsidR="00C72668" w:rsidRPr="00322389" w:rsidTr="000511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C72668" w:rsidRPr="00322389" w:rsidRDefault="0076682A" w:rsidP="00C75DF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8"/>
                <w:szCs w:val="20"/>
              </w:rPr>
            </w:pPr>
            <w:r w:rsidRPr="0076682A">
              <w:rPr>
                <w:rFonts w:ascii="Arial" w:hAnsi="Arial" w:cs="Arial"/>
                <w:color w:val="365F91" w:themeColor="accent1" w:themeShade="BF"/>
                <w:szCs w:val="24"/>
              </w:rPr>
              <w:t>IZVJEŠTAJ O ANALIZI UTICAJA PROPISA ZA LOKALNE SAMOUPRAVE</w:t>
            </w:r>
          </w:p>
        </w:tc>
      </w:tr>
      <w:tr w:rsidR="002474AB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</w:tcPr>
          <w:p w:rsidR="002474AB" w:rsidRPr="00322389" w:rsidRDefault="0076682A" w:rsidP="005505C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PREDLAGAČ PROPISA</w:t>
            </w:r>
          </w:p>
        </w:tc>
        <w:tc>
          <w:tcPr>
            <w:tcW w:w="5598" w:type="dxa"/>
          </w:tcPr>
          <w:p w:rsidR="0076682A" w:rsidRPr="0076682A" w:rsidRDefault="0076682A" w:rsidP="0076682A">
            <w:pPr>
              <w:tabs>
                <w:tab w:val="left" w:pos="28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 w:val="0"/>
                <w:szCs w:val="24"/>
              </w:rPr>
            </w:pPr>
            <w:r w:rsidRPr="0076682A">
              <w:rPr>
                <w:rFonts w:ascii="Arial" w:hAnsi="Arial" w:cs="Arial"/>
                <w:bCs w:val="0"/>
                <w:szCs w:val="24"/>
              </w:rPr>
              <w:t xml:space="preserve">Predsjednik </w:t>
            </w:r>
            <w:proofErr w:type="spellStart"/>
            <w:r w:rsidRPr="0076682A">
              <w:rPr>
                <w:rFonts w:ascii="Arial" w:hAnsi="Arial" w:cs="Arial"/>
                <w:bCs w:val="0"/>
                <w:szCs w:val="24"/>
              </w:rPr>
              <w:t>Opštine</w:t>
            </w:r>
            <w:proofErr w:type="spellEnd"/>
            <w:r w:rsidRPr="0076682A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bCs w:val="0"/>
                <w:szCs w:val="24"/>
              </w:rPr>
              <w:t>Nikšić</w:t>
            </w:r>
            <w:proofErr w:type="spellEnd"/>
            <w:r w:rsidRPr="0076682A">
              <w:rPr>
                <w:rFonts w:ascii="Arial" w:hAnsi="Arial" w:cs="Arial"/>
                <w:bCs w:val="0"/>
                <w:szCs w:val="24"/>
              </w:rPr>
              <w:t xml:space="preserve"> </w:t>
            </w:r>
          </w:p>
          <w:p w:rsidR="0076682A" w:rsidRPr="0076682A" w:rsidRDefault="0076682A" w:rsidP="0076682A">
            <w:pPr>
              <w:tabs>
                <w:tab w:val="left" w:pos="28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 w:val="0"/>
                <w:szCs w:val="24"/>
              </w:rPr>
            </w:pPr>
            <w:proofErr w:type="spellStart"/>
            <w:r w:rsidRPr="0076682A">
              <w:rPr>
                <w:rFonts w:ascii="Arial" w:hAnsi="Arial" w:cs="Arial"/>
                <w:bCs w:val="0"/>
                <w:szCs w:val="24"/>
              </w:rPr>
              <w:t>Direkcija</w:t>
            </w:r>
            <w:proofErr w:type="spellEnd"/>
            <w:r w:rsidRPr="0076682A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bCs w:val="0"/>
                <w:szCs w:val="24"/>
              </w:rPr>
              <w:t>za</w:t>
            </w:r>
            <w:proofErr w:type="spellEnd"/>
            <w:r w:rsidRPr="0076682A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bCs w:val="0"/>
                <w:szCs w:val="24"/>
              </w:rPr>
              <w:t>imovinu</w:t>
            </w:r>
            <w:proofErr w:type="spellEnd"/>
          </w:p>
          <w:p w:rsidR="00FB2418" w:rsidRPr="00FB2418" w:rsidRDefault="0076682A" w:rsidP="0076682A">
            <w:pPr>
              <w:tabs>
                <w:tab w:val="left" w:pos="28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65F91"/>
                <w:sz w:val="20"/>
                <w:szCs w:val="20"/>
                <w:lang w:val="sr-Cyrl-ME"/>
              </w:rPr>
            </w:pPr>
            <w:proofErr w:type="spellStart"/>
            <w:r w:rsidRPr="0076682A">
              <w:rPr>
                <w:rFonts w:ascii="Arial" w:hAnsi="Arial" w:cs="Arial"/>
                <w:bCs w:val="0"/>
                <w:szCs w:val="24"/>
              </w:rPr>
              <w:t>Sekretarijat</w:t>
            </w:r>
            <w:proofErr w:type="spellEnd"/>
            <w:r w:rsidRPr="0076682A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bCs w:val="0"/>
                <w:szCs w:val="24"/>
              </w:rPr>
              <w:t>za</w:t>
            </w:r>
            <w:proofErr w:type="spellEnd"/>
            <w:r w:rsidRPr="0076682A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bCs w:val="0"/>
                <w:szCs w:val="24"/>
              </w:rPr>
              <w:t>uređenje</w:t>
            </w:r>
            <w:proofErr w:type="spellEnd"/>
            <w:r w:rsidRPr="0076682A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bCs w:val="0"/>
                <w:szCs w:val="24"/>
              </w:rPr>
              <w:t>prostora</w:t>
            </w:r>
            <w:proofErr w:type="spellEnd"/>
            <w:r w:rsidRPr="0076682A">
              <w:rPr>
                <w:rFonts w:ascii="Arial" w:hAnsi="Arial" w:cs="Arial"/>
                <w:bCs w:val="0"/>
                <w:szCs w:val="24"/>
              </w:rPr>
              <w:t xml:space="preserve"> i </w:t>
            </w:r>
            <w:proofErr w:type="spellStart"/>
            <w:r w:rsidRPr="0076682A">
              <w:rPr>
                <w:rFonts w:ascii="Arial" w:hAnsi="Arial" w:cs="Arial"/>
                <w:bCs w:val="0"/>
                <w:szCs w:val="24"/>
              </w:rPr>
              <w:t>zaštitu</w:t>
            </w:r>
            <w:proofErr w:type="spellEnd"/>
            <w:r w:rsidRPr="0076682A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bCs w:val="0"/>
                <w:szCs w:val="24"/>
              </w:rPr>
              <w:t>životne</w:t>
            </w:r>
            <w:proofErr w:type="spellEnd"/>
            <w:r w:rsidRPr="0076682A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bCs w:val="0"/>
                <w:szCs w:val="24"/>
              </w:rPr>
              <w:t>sredine</w:t>
            </w:r>
            <w:proofErr w:type="spellEnd"/>
          </w:p>
        </w:tc>
      </w:tr>
      <w:tr w:rsidR="002474AB" w:rsidRPr="00322389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</w:tcPr>
          <w:p w:rsidR="002474AB" w:rsidRPr="00322389" w:rsidRDefault="0076682A" w:rsidP="009E489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NAZIV PROPISA</w:t>
            </w:r>
          </w:p>
        </w:tc>
        <w:tc>
          <w:tcPr>
            <w:tcW w:w="5598" w:type="dxa"/>
          </w:tcPr>
          <w:p w:rsidR="002474AB" w:rsidRPr="00BB753E" w:rsidRDefault="0076682A" w:rsidP="00BB753E">
            <w:pPr>
              <w:tabs>
                <w:tab w:val="left" w:pos="288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val="sr-Latn-CS"/>
              </w:rPr>
            </w:pPr>
            <w:proofErr w:type="spellStart"/>
            <w:r w:rsidRPr="0076682A">
              <w:rPr>
                <w:rFonts w:ascii="Arial" w:hAnsi="Arial" w:cs="Arial"/>
                <w:bCs w:val="0"/>
                <w:szCs w:val="24"/>
              </w:rPr>
              <w:t>Odluka</w:t>
            </w:r>
            <w:proofErr w:type="spellEnd"/>
            <w:r w:rsidRPr="0076682A">
              <w:rPr>
                <w:rFonts w:ascii="Arial" w:hAnsi="Arial" w:cs="Arial"/>
                <w:bCs w:val="0"/>
                <w:szCs w:val="24"/>
              </w:rPr>
              <w:t xml:space="preserve"> o </w:t>
            </w:r>
            <w:proofErr w:type="spellStart"/>
            <w:r w:rsidRPr="0076682A">
              <w:rPr>
                <w:rFonts w:ascii="Arial" w:hAnsi="Arial" w:cs="Arial"/>
                <w:bCs w:val="0"/>
                <w:szCs w:val="24"/>
              </w:rPr>
              <w:t>izmjeni</w:t>
            </w:r>
            <w:proofErr w:type="spellEnd"/>
            <w:r w:rsidRPr="0076682A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bCs w:val="0"/>
                <w:szCs w:val="24"/>
              </w:rPr>
              <w:t>Odluke</w:t>
            </w:r>
            <w:proofErr w:type="spellEnd"/>
            <w:r w:rsidRPr="0076682A">
              <w:rPr>
                <w:rFonts w:ascii="Arial" w:hAnsi="Arial" w:cs="Arial"/>
                <w:bCs w:val="0"/>
                <w:szCs w:val="24"/>
              </w:rPr>
              <w:t xml:space="preserve"> o  </w:t>
            </w:r>
            <w:proofErr w:type="spellStart"/>
            <w:r w:rsidRPr="0076682A">
              <w:rPr>
                <w:rFonts w:ascii="Arial" w:hAnsi="Arial" w:cs="Arial"/>
                <w:bCs w:val="0"/>
                <w:szCs w:val="24"/>
              </w:rPr>
              <w:t>davanju</w:t>
            </w:r>
            <w:proofErr w:type="spellEnd"/>
            <w:r w:rsidRPr="0076682A">
              <w:rPr>
                <w:rFonts w:ascii="Arial" w:hAnsi="Arial" w:cs="Arial"/>
                <w:bCs w:val="0"/>
                <w:szCs w:val="24"/>
              </w:rPr>
              <w:t xml:space="preserve"> u </w:t>
            </w:r>
            <w:proofErr w:type="spellStart"/>
            <w:r w:rsidRPr="0076682A">
              <w:rPr>
                <w:rFonts w:ascii="Arial" w:hAnsi="Arial" w:cs="Arial"/>
                <w:bCs w:val="0"/>
                <w:szCs w:val="24"/>
              </w:rPr>
              <w:t>zakup</w:t>
            </w:r>
            <w:proofErr w:type="spellEnd"/>
            <w:r w:rsidRPr="0076682A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bCs w:val="0"/>
                <w:szCs w:val="24"/>
              </w:rPr>
              <w:t>zemljišta</w:t>
            </w:r>
            <w:proofErr w:type="spellEnd"/>
            <w:r w:rsidRPr="0076682A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bCs w:val="0"/>
                <w:szCs w:val="24"/>
              </w:rPr>
              <w:t>putem</w:t>
            </w:r>
            <w:proofErr w:type="spellEnd"/>
            <w:r w:rsidRPr="0076682A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bCs w:val="0"/>
                <w:szCs w:val="24"/>
              </w:rPr>
              <w:t>prikupljanja</w:t>
            </w:r>
            <w:proofErr w:type="spellEnd"/>
            <w:r w:rsidRPr="0076682A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bCs w:val="0"/>
                <w:szCs w:val="24"/>
              </w:rPr>
              <w:t>ponuda</w:t>
            </w:r>
            <w:proofErr w:type="spellEnd"/>
            <w:r w:rsidRPr="0076682A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bCs w:val="0"/>
                <w:szCs w:val="24"/>
              </w:rPr>
              <w:t>radi</w:t>
            </w:r>
            <w:proofErr w:type="spellEnd"/>
            <w:r w:rsidRPr="0076682A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bCs w:val="0"/>
                <w:szCs w:val="24"/>
              </w:rPr>
              <w:t>postavljanja</w:t>
            </w:r>
            <w:proofErr w:type="spellEnd"/>
            <w:r w:rsidRPr="0076682A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bCs w:val="0"/>
                <w:szCs w:val="24"/>
              </w:rPr>
              <w:t>privremenih</w:t>
            </w:r>
            <w:proofErr w:type="spellEnd"/>
            <w:r w:rsidRPr="0076682A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bCs w:val="0"/>
                <w:szCs w:val="24"/>
              </w:rPr>
              <w:t>objekata</w:t>
            </w:r>
            <w:proofErr w:type="spellEnd"/>
            <w:r w:rsidRPr="0076682A">
              <w:rPr>
                <w:rFonts w:ascii="Arial" w:hAnsi="Arial" w:cs="Arial"/>
                <w:bCs w:val="0"/>
                <w:szCs w:val="24"/>
              </w:rPr>
              <w:t xml:space="preserve">  u </w:t>
            </w:r>
            <w:proofErr w:type="spellStart"/>
            <w:r w:rsidRPr="0076682A">
              <w:rPr>
                <w:rFonts w:ascii="Arial" w:hAnsi="Arial" w:cs="Arial"/>
                <w:bCs w:val="0"/>
                <w:szCs w:val="24"/>
              </w:rPr>
              <w:t>skladu</w:t>
            </w:r>
            <w:proofErr w:type="spellEnd"/>
            <w:r w:rsidRPr="0076682A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bCs w:val="0"/>
                <w:szCs w:val="24"/>
              </w:rPr>
              <w:t>sa</w:t>
            </w:r>
            <w:proofErr w:type="spellEnd"/>
            <w:r w:rsidRPr="0076682A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bCs w:val="0"/>
                <w:szCs w:val="24"/>
              </w:rPr>
              <w:t>Odlukom</w:t>
            </w:r>
            <w:proofErr w:type="spellEnd"/>
            <w:r w:rsidRPr="0076682A">
              <w:rPr>
                <w:rFonts w:ascii="Arial" w:hAnsi="Arial" w:cs="Arial"/>
                <w:bCs w:val="0"/>
                <w:szCs w:val="24"/>
              </w:rPr>
              <w:t xml:space="preserve">  o </w:t>
            </w:r>
            <w:proofErr w:type="spellStart"/>
            <w:r w:rsidRPr="0076682A">
              <w:rPr>
                <w:rFonts w:ascii="Arial" w:hAnsi="Arial" w:cs="Arial"/>
                <w:bCs w:val="0"/>
                <w:szCs w:val="24"/>
              </w:rPr>
              <w:t>donošenju</w:t>
            </w:r>
            <w:proofErr w:type="spellEnd"/>
            <w:r w:rsidRPr="0076682A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bCs w:val="0"/>
                <w:szCs w:val="24"/>
              </w:rPr>
              <w:t>programa</w:t>
            </w:r>
            <w:proofErr w:type="spellEnd"/>
            <w:r w:rsidRPr="0076682A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bCs w:val="0"/>
                <w:szCs w:val="24"/>
              </w:rPr>
              <w:t>priv</w:t>
            </w:r>
            <w:r w:rsidR="00E5355A">
              <w:rPr>
                <w:rFonts w:ascii="Arial" w:hAnsi="Arial" w:cs="Arial"/>
                <w:bCs w:val="0"/>
                <w:szCs w:val="24"/>
              </w:rPr>
              <w:t>remenih</w:t>
            </w:r>
            <w:proofErr w:type="spellEnd"/>
            <w:r w:rsidR="00E5355A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E5355A">
              <w:rPr>
                <w:rFonts w:ascii="Arial" w:hAnsi="Arial" w:cs="Arial"/>
                <w:bCs w:val="0"/>
                <w:szCs w:val="24"/>
              </w:rPr>
              <w:t>objekata</w:t>
            </w:r>
            <w:proofErr w:type="spellEnd"/>
            <w:r w:rsidR="00E5355A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E5355A">
              <w:rPr>
                <w:rFonts w:ascii="Arial" w:hAnsi="Arial" w:cs="Arial"/>
                <w:bCs w:val="0"/>
                <w:szCs w:val="24"/>
              </w:rPr>
              <w:t>na</w:t>
            </w:r>
            <w:proofErr w:type="spellEnd"/>
            <w:r w:rsidR="00E5355A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E5355A">
              <w:rPr>
                <w:rFonts w:ascii="Arial" w:hAnsi="Arial" w:cs="Arial"/>
                <w:bCs w:val="0"/>
                <w:szCs w:val="24"/>
              </w:rPr>
              <w:t>teritoriji</w:t>
            </w:r>
            <w:proofErr w:type="spellEnd"/>
            <w:r w:rsidR="00E5355A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E5355A">
              <w:rPr>
                <w:rFonts w:ascii="Arial" w:hAnsi="Arial" w:cs="Arial"/>
                <w:bCs w:val="0"/>
                <w:szCs w:val="24"/>
              </w:rPr>
              <w:t>o</w:t>
            </w:r>
            <w:bookmarkStart w:id="0" w:name="_GoBack"/>
            <w:bookmarkEnd w:id="0"/>
            <w:r w:rsidRPr="0076682A">
              <w:rPr>
                <w:rFonts w:ascii="Arial" w:hAnsi="Arial" w:cs="Arial"/>
                <w:bCs w:val="0"/>
                <w:szCs w:val="24"/>
              </w:rPr>
              <w:t>pštine</w:t>
            </w:r>
            <w:proofErr w:type="spellEnd"/>
            <w:r w:rsidRPr="0076682A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bCs w:val="0"/>
                <w:szCs w:val="24"/>
              </w:rPr>
              <w:t>Nikšić</w:t>
            </w:r>
            <w:proofErr w:type="spellEnd"/>
          </w:p>
        </w:tc>
      </w:tr>
      <w:tr w:rsidR="009E489E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76682A" w:rsidRPr="0076682A" w:rsidRDefault="0076682A" w:rsidP="0076682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1.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Definisanje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problema</w:t>
            </w:r>
            <w:proofErr w:type="spellEnd"/>
          </w:p>
          <w:p w:rsidR="0076682A" w:rsidRPr="0076682A" w:rsidRDefault="0076682A" w:rsidP="0076682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Navesti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zakonski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odnosno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strateški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ili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drugi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osnov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donošenje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? </w:t>
            </w:r>
          </w:p>
          <w:p w:rsidR="0076682A" w:rsidRPr="0076682A" w:rsidRDefault="0076682A" w:rsidP="0076682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Da li se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propisom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utvrđuju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sopstvene</w:t>
            </w:r>
            <w:proofErr w:type="spellEnd"/>
            <w:proofErr w:type="gram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nadležnosti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ili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preneseni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odnosno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povjereni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poslovi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lokalne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samouprave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76682A" w:rsidRPr="0076682A" w:rsidRDefault="0076682A" w:rsidP="0076682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probleme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treba</w:t>
            </w:r>
            <w:proofErr w:type="spellEnd"/>
            <w:proofErr w:type="gram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da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riješi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predloženi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akt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76682A" w:rsidRPr="0076682A" w:rsidRDefault="0076682A" w:rsidP="0076682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Dali problem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rodnu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dimenziju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 (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posebni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uticaj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žene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</w:t>
            </w:r>
          </w:p>
          <w:p w:rsidR="0076682A" w:rsidRPr="0076682A" w:rsidRDefault="0076682A" w:rsidP="0076682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Koji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uzroci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problema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76682A" w:rsidRPr="0076682A" w:rsidRDefault="0076682A" w:rsidP="0076682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posljedice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problema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76682A" w:rsidRPr="0076682A" w:rsidRDefault="0076682A" w:rsidP="0076682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Koji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subjekti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oštećeni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koji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način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u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kojoj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mjeri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9E489E" w:rsidRPr="00D104AD" w:rsidRDefault="0076682A" w:rsidP="0076682A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Kako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bi problem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evoluirao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bez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promjene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(“status quo”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opcija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)?</w:t>
            </w:r>
          </w:p>
        </w:tc>
      </w:tr>
      <w:tr w:rsidR="009E489E" w:rsidRPr="00322389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76682A" w:rsidRPr="0076682A" w:rsidRDefault="0076682A" w:rsidP="0076682A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Pravni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osnov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donošenje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ove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odluke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sadržan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članu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39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st.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1 i  2 i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člana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40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stav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1  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Zakona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o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državnoj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imovini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(„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Službeni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list CG“, br. 21/09 i 40/11),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člana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38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stav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1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tačka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9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Zakona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o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lokalnoj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samoupravi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 „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Službeni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list CG“, br. 2/18, 34/19, 38/20, 50/22 i 84/22),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člana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4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stav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1 i 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člana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29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Uredbe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o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prodaji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davanju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zakup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stvari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državnoj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imovini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( „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Službeni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list CG“,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broj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44/10), 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člana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35 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stav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1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tačka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9 i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člana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38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stav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1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Statuta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opštine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Nikšić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(„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Službeni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list CG -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Opštinski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propisi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“ br. 31/18 i 21/23);</w:t>
            </w:r>
          </w:p>
          <w:p w:rsidR="0076682A" w:rsidRPr="0076682A" w:rsidRDefault="0076682A" w:rsidP="0076682A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Riječ je o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sopstvenim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nadležnostima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lokalne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samouprave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76682A" w:rsidRPr="0076682A" w:rsidRDefault="0076682A" w:rsidP="0076682A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Predloženom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izmjenom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Odluke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treba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da se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riješi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pitanje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zakupa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zemljišta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lokacije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nijesu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predviđene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Programom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privremenih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objekata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teritoriji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Opštine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Nikšić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76682A" w:rsidRPr="0076682A" w:rsidRDefault="0076682A" w:rsidP="0076682A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Problem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nema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rodnu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dimenziju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76682A" w:rsidRPr="0076682A" w:rsidRDefault="0076682A" w:rsidP="0076682A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Uzrok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problema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taj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što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donošenjem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Programa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privremenih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objekata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teritoriji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Opštine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Nikšić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prestao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osnov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produženje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zakupa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zemljišta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lokacijama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definisanim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Programom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pa se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izmjenom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ove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odluke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predlaže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privremeno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rješenje;</w:t>
            </w:r>
          </w:p>
          <w:p w:rsidR="0076682A" w:rsidRPr="0076682A" w:rsidRDefault="0076682A" w:rsidP="0076682A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Posledica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ovog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problema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što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se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bez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donošenja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predložene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izmjene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Odluke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mogu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zaključivati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ugovori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o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zakupu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dosadašnjim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zakupcima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zemljišta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koji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ujedno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vlasnici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privremenih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objekata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ovom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zemljištu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;  </w:t>
            </w:r>
          </w:p>
          <w:p w:rsidR="0076682A" w:rsidRPr="0076682A" w:rsidRDefault="0076682A" w:rsidP="0076682A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Oštećeni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subjekti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vlasnici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privremenih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objekata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Opština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Nikšić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gubi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znatan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prihod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koji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ubira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osnovu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zakupa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; </w:t>
            </w:r>
          </w:p>
          <w:p w:rsidR="00C0540E" w:rsidRPr="00322389" w:rsidRDefault="0076682A" w:rsidP="0076682A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U “status quo”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opciji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postojeći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privremeni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objekti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bi se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morali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ukloniti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čime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bi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njihovi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vlasnici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ali</w:t>
            </w:r>
            <w:proofErr w:type="spellEnd"/>
            <w:proofErr w:type="gram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Opština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Nikšić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izgubili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prihode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ostvaruju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ovom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osnovu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9E489E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76682A" w:rsidRPr="0076682A" w:rsidRDefault="0076682A" w:rsidP="0076682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2.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Ciljevi</w:t>
            </w:r>
            <w:proofErr w:type="spellEnd"/>
          </w:p>
          <w:p w:rsidR="0076682A" w:rsidRPr="0076682A" w:rsidRDefault="0076682A" w:rsidP="0076682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Koji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ciljevi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se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postižu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predloženim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propisom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9E489E" w:rsidRPr="00D104AD" w:rsidRDefault="0076682A" w:rsidP="0076682A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Da li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bilo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koji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od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ciljeva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unapređuje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rodnu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ravnopravnost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</w:tc>
      </w:tr>
      <w:tr w:rsidR="009E489E" w:rsidRPr="00322389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76682A" w:rsidRPr="0076682A" w:rsidRDefault="0076682A" w:rsidP="0076682A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  <w:p w:rsidR="0076682A" w:rsidRPr="0076682A" w:rsidRDefault="0076682A" w:rsidP="0076682A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lastRenderedPageBreak/>
              <w:t>Cilj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Odluke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je 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privremeno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rješavanje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ovog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pitanja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do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donošenja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konačne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odluke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; </w:t>
            </w:r>
          </w:p>
          <w:p w:rsidR="007000DC" w:rsidRPr="00A863F9" w:rsidRDefault="0076682A" w:rsidP="0076682A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proofErr w:type="gram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Nijedan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od</w:t>
            </w:r>
            <w:proofErr w:type="gram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ciljeva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ne unapređuje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rodnu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ravnopravnost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9E489E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76682A" w:rsidRPr="0076682A" w:rsidRDefault="0076682A" w:rsidP="0076682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lastRenderedPageBreak/>
              <w:t xml:space="preserve">3.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Opcije</w:t>
            </w:r>
            <w:proofErr w:type="spellEnd"/>
          </w:p>
          <w:p w:rsidR="0076682A" w:rsidRPr="0076682A" w:rsidRDefault="0076682A" w:rsidP="0076682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Zašto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neophodan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? </w:t>
            </w:r>
          </w:p>
          <w:p w:rsidR="0076682A" w:rsidRPr="0076682A" w:rsidRDefault="0076682A" w:rsidP="0076682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moguće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opcije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ispunjavanje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ciljeva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rješavanje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problema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 (</w:t>
            </w:r>
            <w:proofErr w:type="gram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uvijek</w:t>
            </w:r>
            <w:proofErr w:type="gram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treba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razmatrati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“status quo”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opciju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preporučljivo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uključiti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neregulatornu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opciju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osim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ako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postoji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obaveza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donošenja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predloženog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).</w:t>
            </w:r>
          </w:p>
          <w:p w:rsidR="009E489E" w:rsidRPr="00D104AD" w:rsidRDefault="0076682A" w:rsidP="0076682A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Obrazložiti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preferiranu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opciju</w:t>
            </w:r>
            <w:proofErr w:type="spellEnd"/>
            <w:proofErr w:type="gram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?(</w:t>
            </w:r>
            <w:proofErr w:type="spellStart"/>
            <w:proofErr w:type="gram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rodna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dimenzija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te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opcije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;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kako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preferirana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opcija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unapređuje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rodnu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ravnopravnost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:  status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žena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odnose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među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ženama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muškarcima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?)</w:t>
            </w:r>
          </w:p>
        </w:tc>
      </w:tr>
      <w:tr w:rsidR="009E489E" w:rsidRPr="00322389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76682A" w:rsidRPr="0076682A" w:rsidRDefault="0076682A" w:rsidP="0076682A">
            <w:pP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</w:p>
          <w:p w:rsidR="0076682A" w:rsidRPr="0076682A" w:rsidRDefault="0076682A" w:rsidP="0076682A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Donošenje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neophodno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jer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se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produženjem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trajanja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zakupa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zemljište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proofErr w:type="gram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kojem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se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nalaze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privremeni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objekti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koji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nijesu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predviđeni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Programom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privremenih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objekata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teritoriji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Opštine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Nikšić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pruža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dovoljno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vremena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provođenje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zakonske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procedure da se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ovi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objekti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eventualno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uvrste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izmjene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dopune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Programa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.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tome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treba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uzeti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obzir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činjenicu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da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zakupci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najvećem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broju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slučajeva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pitanju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lica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kojima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obavljanje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neke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djelatnosti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privremenim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objektima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osnovni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izvor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egzistencije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. 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Zakupci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već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dugi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niz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godina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koriste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ove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lokacije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Opštini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plaćaju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zakonom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propisane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takse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naknade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a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Opština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Nikšić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do momenta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privođenja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zemljišta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kojem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se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nalaze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ovi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objekti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prihodovati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određena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finansijska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sredstva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3D3FB6" w:rsidRPr="009F37BA" w:rsidRDefault="0076682A" w:rsidP="0076682A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i/>
                <w:iCs/>
                <w:color w:val="365F91" w:themeColor="accent1" w:themeShade="BF"/>
              </w:rPr>
            </w:pP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Mimo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ove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opcije</w:t>
            </w:r>
            <w:proofErr w:type="spellEnd"/>
            <w:proofErr w:type="gram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Opština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Nikšić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nema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drugih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opcija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da se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riješi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ovaj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problem.</w:t>
            </w:r>
          </w:p>
        </w:tc>
      </w:tr>
      <w:tr w:rsidR="009E489E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76682A" w:rsidRPr="0076682A" w:rsidRDefault="0076682A" w:rsidP="0076682A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</w:p>
          <w:p w:rsidR="0076682A" w:rsidRPr="0076682A" w:rsidRDefault="0076682A" w:rsidP="0076682A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4.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Analiza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uticaja</w:t>
            </w:r>
            <w:proofErr w:type="spellEnd"/>
          </w:p>
          <w:p w:rsidR="0076682A" w:rsidRPr="0076682A" w:rsidRDefault="0076682A" w:rsidP="0076682A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Na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koga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kako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najvjerovatnije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uticati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rješenja u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propisu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-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nabrojati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pozitivne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negativne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uticaje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direktne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indirektne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76682A" w:rsidRPr="0076682A" w:rsidRDefault="0076682A" w:rsidP="0076682A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troškove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ili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uštede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primjena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izazvati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građanima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privredi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naročito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malim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srednjim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preduzećima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)?</w:t>
            </w:r>
          </w:p>
          <w:p w:rsidR="0076682A" w:rsidRPr="0076682A" w:rsidRDefault="0076682A" w:rsidP="0076682A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Da li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pozitivne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posljedice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donošenja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opravdavaju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troškove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on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stvoriti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76682A" w:rsidRPr="0076682A" w:rsidRDefault="0076682A" w:rsidP="0076682A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Da li se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propisom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podržava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stvaranje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novih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privrednih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subjekata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tržištu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tržišna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konkurencija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9E489E" w:rsidRPr="00A863F9" w:rsidRDefault="0076682A" w:rsidP="0076682A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-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Uključiti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procjenu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administrativnih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opterećenja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biznis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barijera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9E489E" w:rsidRPr="00322389" w:rsidTr="00CD72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76682A" w:rsidRPr="0076682A" w:rsidRDefault="0076682A" w:rsidP="0076682A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Rješenja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predložene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odluke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proofErr w:type="gram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direktno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uticati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vlasnike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privremenih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objekata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koji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nijesu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predviđeni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Programom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privremenih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objekata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teritoriji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Opštine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Nikšić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.  </w:t>
            </w:r>
          </w:p>
          <w:p w:rsidR="0076682A" w:rsidRPr="0076682A" w:rsidRDefault="0076682A" w:rsidP="0076682A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Primjena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izazavaće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troškove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vlasnicima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privremenih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objekata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koji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nijesu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predviđeni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Programom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privremenih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objekata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teritoriji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Opštine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Nikšić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u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dijelu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koji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se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odnosi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plaćanje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zakupa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zemljištu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kome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se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objekti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nalaze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76682A" w:rsidRPr="0076682A" w:rsidRDefault="0076682A" w:rsidP="0076682A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Pozitivne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posljedice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donošenja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opravdavaju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troškove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on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stvoriti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razloga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što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visina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zakupa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koju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vlasnici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privremenih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objekata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plaćaju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neznatna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odnosu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korist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koji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imaju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od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obavljanja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djelatnosti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istim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s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obzirom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da je u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većini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slučajeva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ovo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osnovni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izvor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egzistencije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kod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ovih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lica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76682A" w:rsidRPr="0076682A" w:rsidRDefault="0076682A" w:rsidP="0076682A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Odluka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podržava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zadržavanje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postojećih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privrednih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subjekata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a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samim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tim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utiče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tržišnu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konkurenciju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76682A" w:rsidRPr="0076682A" w:rsidRDefault="0076682A" w:rsidP="0076682A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Odlukom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se ne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stvaraju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administrativna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opterećenja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biznis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barijere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B21F55" w:rsidRPr="0076682A" w:rsidRDefault="00B21F55" w:rsidP="0076682A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</w:tr>
      <w:tr w:rsidR="009E489E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76682A" w:rsidRPr="0076682A" w:rsidRDefault="0076682A" w:rsidP="0076682A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5.Procjena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fiskalnog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uticaja</w:t>
            </w:r>
            <w:proofErr w:type="spellEnd"/>
          </w:p>
          <w:p w:rsidR="0076682A" w:rsidRPr="0076682A" w:rsidRDefault="0076682A" w:rsidP="0076682A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Da li je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potrebno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obezbjeđenje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finansijskih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sredstava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lokalnih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samouprava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odnosno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Crne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Gore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implementaciju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u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kom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iznosu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76682A" w:rsidRPr="0076682A" w:rsidRDefault="0076682A" w:rsidP="0076682A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Da li je obezbjeđenje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finansijskih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sredstava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jednokratno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ili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tokom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određenog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vremenskog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perioda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? 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Obrazložiti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76682A" w:rsidRPr="0076682A" w:rsidRDefault="0076682A" w:rsidP="0076682A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Da li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neophodna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finansijska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sredstva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obezbijeđena u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budžetu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lokalnih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samouprava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odnosno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budžetu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Crne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Gore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tekuću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fiskalnu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godinu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odnosno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da li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planirana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budžetu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narednu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fiskalnu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godinu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76682A" w:rsidRPr="0076682A" w:rsidRDefault="0076682A" w:rsidP="0076682A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Da li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utiče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visinu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prihoda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jedinice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lokalne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samouprave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odnosno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prihoda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Crne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Gore i </w:t>
            </w:r>
            <w:proofErr w:type="spellStart"/>
            <w:proofErr w:type="gram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kako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?</w:t>
            </w:r>
            <w:proofErr w:type="gramEnd"/>
          </w:p>
          <w:p w:rsidR="009E489E" w:rsidRPr="00CD7298" w:rsidRDefault="0076682A" w:rsidP="0076682A">
            <w:pP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potencijalni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korisnik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implementaciju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(u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kojem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procentu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bi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korisnici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mogli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biti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muškarci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a u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kojem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žene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? Da li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implementacija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može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biti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uzrok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neravnopravnosti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između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muškaraca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žena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?)</w:t>
            </w:r>
          </w:p>
        </w:tc>
      </w:tr>
      <w:tr w:rsidR="009E489E" w:rsidRPr="00322389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76682A" w:rsidRPr="0076682A" w:rsidRDefault="0076682A" w:rsidP="0076682A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lastRenderedPageBreak/>
              <w:t>Tokom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implementacije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rješenja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predložene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odluke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nije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potrebno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obezbjeđenje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finansijskih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sredstava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optine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Nikšić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implementaciju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091258" w:rsidRDefault="0076682A" w:rsidP="0076682A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Nijesu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neophodna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finansijska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sredstva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obezbijeđena u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budžetu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opštine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Nikšić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tekuću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fiskalnu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godinu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odnosno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nijesu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planirana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budžetu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narednu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fiskalnu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godinu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76682A" w:rsidRPr="0076682A" w:rsidRDefault="0076682A" w:rsidP="0076682A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Imlementacijom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se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ostvariti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prihod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jedinicu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lokalne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samouprave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u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zavisnosti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od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procijenjene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cijene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zakupa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0A2DE6" w:rsidRPr="000A2DE6" w:rsidRDefault="0076682A" w:rsidP="0076682A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Implementacija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može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biti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uzrok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neravnopravnosti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između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muškaraca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žena</w:t>
            </w:r>
            <w:proofErr w:type="spellEnd"/>
            <w:r w:rsidRPr="007668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9E489E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9F77F4" w:rsidRPr="009F77F4" w:rsidRDefault="009F77F4" w:rsidP="009F77F4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6. </w:t>
            </w:r>
            <w:proofErr w:type="spellStart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Konsultacije</w:t>
            </w:r>
            <w:proofErr w:type="spellEnd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zainteresovanih</w:t>
            </w:r>
            <w:proofErr w:type="spellEnd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strana</w:t>
            </w:r>
            <w:proofErr w:type="spellEnd"/>
          </w:p>
          <w:p w:rsidR="009F77F4" w:rsidRPr="009F77F4" w:rsidRDefault="009F77F4" w:rsidP="009F77F4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Naznačiti</w:t>
            </w:r>
            <w:proofErr w:type="spellEnd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da li je </w:t>
            </w:r>
            <w:proofErr w:type="spellStart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korišćena</w:t>
            </w:r>
            <w:proofErr w:type="spellEnd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eksterna</w:t>
            </w:r>
            <w:proofErr w:type="spellEnd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ekspertska</w:t>
            </w:r>
            <w:proofErr w:type="spellEnd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podrška</w:t>
            </w:r>
            <w:proofErr w:type="spellEnd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ako</w:t>
            </w:r>
            <w:proofErr w:type="spellEnd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da, </w:t>
            </w:r>
            <w:proofErr w:type="spellStart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kako</w:t>
            </w:r>
            <w:proofErr w:type="spellEnd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9F77F4" w:rsidRPr="009F77F4" w:rsidRDefault="009F77F4" w:rsidP="009F77F4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Naznačiti</w:t>
            </w:r>
            <w:proofErr w:type="spellEnd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grupe</w:t>
            </w:r>
            <w:proofErr w:type="spellEnd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zainteresovanih</w:t>
            </w:r>
            <w:proofErr w:type="spellEnd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strana</w:t>
            </w:r>
            <w:proofErr w:type="spellEnd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konsultovane</w:t>
            </w:r>
            <w:proofErr w:type="spellEnd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u </w:t>
            </w:r>
            <w:proofErr w:type="spellStart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kojoj</w:t>
            </w:r>
            <w:proofErr w:type="spellEnd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fazi</w:t>
            </w:r>
            <w:proofErr w:type="spellEnd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RIA </w:t>
            </w:r>
            <w:proofErr w:type="spellStart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procesa</w:t>
            </w:r>
            <w:proofErr w:type="spellEnd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kako</w:t>
            </w:r>
            <w:proofErr w:type="spellEnd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</w:t>
            </w:r>
            <w:proofErr w:type="spellStart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javne</w:t>
            </w:r>
            <w:proofErr w:type="spellEnd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ili</w:t>
            </w:r>
            <w:proofErr w:type="spellEnd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ciljane</w:t>
            </w:r>
            <w:proofErr w:type="spellEnd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konsultacije</w:t>
            </w:r>
            <w:proofErr w:type="spellEnd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).</w:t>
            </w:r>
          </w:p>
          <w:p w:rsidR="009F77F4" w:rsidRPr="009F77F4" w:rsidRDefault="009F77F4" w:rsidP="009F77F4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Da li </w:t>
            </w:r>
            <w:proofErr w:type="spellStart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predstavnice</w:t>
            </w:r>
            <w:proofErr w:type="spellEnd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ženskih</w:t>
            </w:r>
            <w:proofErr w:type="spellEnd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udruženja</w:t>
            </w:r>
            <w:proofErr w:type="spellEnd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bile </w:t>
            </w:r>
            <w:proofErr w:type="spellStart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uključene</w:t>
            </w:r>
            <w:proofErr w:type="spellEnd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konsultacije</w:t>
            </w:r>
            <w:proofErr w:type="spellEnd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9E489E" w:rsidRPr="00322389" w:rsidRDefault="009F77F4" w:rsidP="009F77F4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Naznačiti</w:t>
            </w:r>
            <w:proofErr w:type="spellEnd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glavne</w:t>
            </w:r>
            <w:proofErr w:type="spellEnd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rezultate</w:t>
            </w:r>
            <w:proofErr w:type="spellEnd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konsultacija</w:t>
            </w:r>
            <w:proofErr w:type="spellEnd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i </w:t>
            </w:r>
            <w:proofErr w:type="spellStart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koji</w:t>
            </w:r>
            <w:proofErr w:type="spellEnd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predlozi</w:t>
            </w:r>
            <w:proofErr w:type="spellEnd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sugestije</w:t>
            </w:r>
            <w:proofErr w:type="spellEnd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zainteresovanih</w:t>
            </w:r>
            <w:proofErr w:type="spellEnd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strana</w:t>
            </w:r>
            <w:proofErr w:type="spellEnd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prihvaćeni</w:t>
            </w:r>
            <w:proofErr w:type="spellEnd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odnosno</w:t>
            </w:r>
            <w:proofErr w:type="spellEnd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nijesu</w:t>
            </w:r>
            <w:proofErr w:type="spellEnd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prihvaćeni</w:t>
            </w:r>
            <w:proofErr w:type="spellEnd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. </w:t>
            </w:r>
            <w:proofErr w:type="spellStart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Obrazložiti</w:t>
            </w:r>
            <w:proofErr w:type="spellEnd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9E489E" w:rsidRPr="00322389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9E489E" w:rsidRPr="00322389" w:rsidRDefault="009E489E" w:rsidP="009E489E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</w:p>
          <w:p w:rsidR="009F77F4" w:rsidRPr="009F77F4" w:rsidRDefault="009F77F4" w:rsidP="009F77F4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Tokom</w:t>
            </w:r>
            <w:proofErr w:type="spellEnd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izrade</w:t>
            </w:r>
            <w:proofErr w:type="spellEnd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predloženog</w:t>
            </w:r>
            <w:proofErr w:type="spellEnd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nije</w:t>
            </w:r>
            <w:proofErr w:type="spellEnd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korišćena</w:t>
            </w:r>
            <w:proofErr w:type="spellEnd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ekspertska</w:t>
            </w:r>
            <w:proofErr w:type="spellEnd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podrška</w:t>
            </w:r>
            <w:proofErr w:type="spellEnd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niti</w:t>
            </w:r>
            <w:proofErr w:type="spellEnd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vršene</w:t>
            </w:r>
            <w:proofErr w:type="spellEnd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konsultacije</w:t>
            </w:r>
            <w:proofErr w:type="spellEnd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9E489E" w:rsidRPr="00B21F55" w:rsidRDefault="009F77F4" w:rsidP="009F77F4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Predstavnice</w:t>
            </w:r>
            <w:proofErr w:type="spellEnd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ženskih</w:t>
            </w:r>
            <w:proofErr w:type="spellEnd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udruženja</w:t>
            </w:r>
            <w:proofErr w:type="spellEnd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nijesu</w:t>
            </w:r>
            <w:proofErr w:type="spellEnd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bile </w:t>
            </w:r>
            <w:proofErr w:type="spellStart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uključene</w:t>
            </w:r>
            <w:proofErr w:type="spellEnd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konsultacije</w:t>
            </w:r>
            <w:proofErr w:type="spellEnd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</w:tc>
      </w:tr>
      <w:tr w:rsidR="009E489E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9F77F4" w:rsidRPr="009F77F4" w:rsidRDefault="009F77F4" w:rsidP="009F77F4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7.  Monitoring i </w:t>
            </w:r>
            <w:proofErr w:type="spellStart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evaluacija</w:t>
            </w:r>
            <w:proofErr w:type="spellEnd"/>
          </w:p>
          <w:p w:rsidR="009F77F4" w:rsidRPr="009F77F4" w:rsidRDefault="009F77F4" w:rsidP="009F77F4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potencijalne</w:t>
            </w:r>
            <w:proofErr w:type="spellEnd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prepreke </w:t>
            </w:r>
            <w:proofErr w:type="spellStart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implementaciju</w:t>
            </w:r>
            <w:proofErr w:type="spellEnd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? </w:t>
            </w:r>
          </w:p>
          <w:p w:rsidR="009F77F4" w:rsidRPr="009F77F4" w:rsidRDefault="009F77F4" w:rsidP="009F77F4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Koji </w:t>
            </w:r>
            <w:proofErr w:type="spellStart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glavni</w:t>
            </w:r>
            <w:proofErr w:type="spellEnd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indikatori</w:t>
            </w:r>
            <w:proofErr w:type="spellEnd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prema</w:t>
            </w:r>
            <w:proofErr w:type="spellEnd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kojima</w:t>
            </w:r>
            <w:proofErr w:type="spellEnd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se </w:t>
            </w:r>
            <w:proofErr w:type="spellStart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mjeriti</w:t>
            </w:r>
            <w:proofErr w:type="spellEnd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ispunjenje</w:t>
            </w:r>
            <w:proofErr w:type="spellEnd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ciljeva</w:t>
            </w:r>
            <w:proofErr w:type="spellEnd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9E489E" w:rsidRPr="00C07A0F" w:rsidRDefault="009F77F4" w:rsidP="009F77F4">
            <w:p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- </w:t>
            </w:r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</w:t>
            </w:r>
            <w:proofErr w:type="spellEnd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biti</w:t>
            </w:r>
            <w:proofErr w:type="spellEnd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zadužen</w:t>
            </w:r>
            <w:proofErr w:type="spellEnd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sprovođenje</w:t>
            </w:r>
            <w:proofErr w:type="spellEnd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monitoringa i </w:t>
            </w:r>
            <w:proofErr w:type="spellStart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evaluacije</w:t>
            </w:r>
            <w:proofErr w:type="spellEnd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primjene</w:t>
            </w:r>
            <w:proofErr w:type="spellEnd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</w:tc>
      </w:tr>
      <w:tr w:rsidR="009E489E" w:rsidRPr="000511F0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9E489E" w:rsidRPr="000511F0" w:rsidRDefault="009E489E" w:rsidP="009E489E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1"/>
                <w:szCs w:val="21"/>
                <w:lang w:val="sr-Latn-CS"/>
              </w:rPr>
            </w:pPr>
          </w:p>
          <w:p w:rsidR="009F77F4" w:rsidRPr="009F77F4" w:rsidRDefault="009F77F4" w:rsidP="009F77F4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Potencijalne</w:t>
            </w:r>
            <w:proofErr w:type="spellEnd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prepreke </w:t>
            </w:r>
            <w:proofErr w:type="spellStart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realizaciju</w:t>
            </w:r>
            <w:proofErr w:type="spellEnd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predloženih</w:t>
            </w:r>
            <w:proofErr w:type="spellEnd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rješenja </w:t>
            </w:r>
            <w:proofErr w:type="spellStart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</w:t>
            </w:r>
            <w:proofErr w:type="spellEnd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odluke</w:t>
            </w:r>
            <w:proofErr w:type="spellEnd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ne </w:t>
            </w:r>
            <w:proofErr w:type="spellStart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postoje</w:t>
            </w:r>
            <w:proofErr w:type="spellEnd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9E489E" w:rsidRPr="000511F0" w:rsidRDefault="009F77F4" w:rsidP="009F77F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sprovođenje</w:t>
            </w:r>
            <w:proofErr w:type="spellEnd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monitoringa i </w:t>
            </w:r>
            <w:proofErr w:type="spellStart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evaluaciju</w:t>
            </w:r>
            <w:proofErr w:type="spellEnd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primjene</w:t>
            </w:r>
            <w:proofErr w:type="spellEnd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u </w:t>
            </w:r>
            <w:proofErr w:type="spellStart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okviru</w:t>
            </w:r>
            <w:proofErr w:type="spellEnd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svoje</w:t>
            </w:r>
            <w:proofErr w:type="spellEnd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nadležnosti</w:t>
            </w:r>
            <w:proofErr w:type="spellEnd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biće</w:t>
            </w:r>
            <w:proofErr w:type="spellEnd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zadužen</w:t>
            </w:r>
            <w:proofErr w:type="spellEnd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organ </w:t>
            </w:r>
            <w:proofErr w:type="spellStart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lokalne</w:t>
            </w:r>
            <w:proofErr w:type="spellEnd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uprave</w:t>
            </w:r>
            <w:proofErr w:type="spellEnd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nadležan</w:t>
            </w:r>
            <w:proofErr w:type="spellEnd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poslove</w:t>
            </w:r>
            <w:proofErr w:type="spellEnd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imovine</w:t>
            </w:r>
            <w:proofErr w:type="spellEnd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organ </w:t>
            </w:r>
            <w:proofErr w:type="spellStart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lokalne</w:t>
            </w:r>
            <w:proofErr w:type="spellEnd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uprave</w:t>
            </w:r>
            <w:proofErr w:type="spellEnd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nadležan</w:t>
            </w:r>
            <w:proofErr w:type="spellEnd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poslove</w:t>
            </w:r>
            <w:proofErr w:type="spellEnd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uređenja</w:t>
            </w:r>
            <w:proofErr w:type="spellEnd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prostora</w:t>
            </w:r>
            <w:proofErr w:type="spellEnd"/>
            <w:r w:rsidRPr="009F77F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</w:tbl>
    <w:p w:rsidR="00BA7396" w:rsidRPr="000511F0" w:rsidRDefault="00BA7396" w:rsidP="00BA7396">
      <w:pPr>
        <w:autoSpaceDE w:val="0"/>
        <w:autoSpaceDN w:val="0"/>
        <w:adjustRightInd w:val="0"/>
        <w:rPr>
          <w:rFonts w:ascii="Arial" w:hAnsi="Arial" w:cs="Arial"/>
          <w:b/>
          <w:bCs w:val="0"/>
          <w:color w:val="365F91" w:themeColor="accent1" w:themeShade="BF"/>
          <w:sz w:val="20"/>
          <w:szCs w:val="20"/>
        </w:rPr>
      </w:pPr>
    </w:p>
    <w:p w:rsidR="00AB16F2" w:rsidRDefault="00AB16F2" w:rsidP="00C07A0F">
      <w:pPr>
        <w:rPr>
          <w:rFonts w:ascii="Arial" w:hAnsi="Arial" w:cs="Arial"/>
          <w:b/>
        </w:rPr>
      </w:pPr>
    </w:p>
    <w:p w:rsidR="009F77F4" w:rsidRPr="009F77F4" w:rsidRDefault="009F77F4" w:rsidP="009F77F4">
      <w:pPr>
        <w:rPr>
          <w:rFonts w:ascii="Arial" w:hAnsi="Arial" w:cs="Arial"/>
          <w:b/>
        </w:rPr>
      </w:pPr>
      <w:r w:rsidRPr="009F77F4">
        <w:rPr>
          <w:rFonts w:ascii="Arial" w:hAnsi="Arial" w:cs="Arial"/>
          <w:b/>
        </w:rPr>
        <w:t xml:space="preserve">Datum i </w:t>
      </w:r>
      <w:proofErr w:type="spellStart"/>
      <w:r w:rsidRPr="009F77F4">
        <w:rPr>
          <w:rFonts w:ascii="Arial" w:hAnsi="Arial" w:cs="Arial"/>
          <w:b/>
        </w:rPr>
        <w:t>mjesto</w:t>
      </w:r>
      <w:proofErr w:type="spellEnd"/>
      <w:r w:rsidRPr="009F77F4">
        <w:rPr>
          <w:rFonts w:ascii="Arial" w:hAnsi="Arial" w:cs="Arial"/>
          <w:b/>
        </w:rPr>
        <w:tab/>
      </w:r>
      <w:r w:rsidRPr="009F77F4">
        <w:rPr>
          <w:rFonts w:ascii="Arial" w:hAnsi="Arial" w:cs="Arial"/>
          <w:b/>
        </w:rPr>
        <w:tab/>
      </w:r>
      <w:r w:rsidRPr="009F77F4">
        <w:rPr>
          <w:rFonts w:ascii="Arial" w:hAnsi="Arial" w:cs="Arial"/>
          <w:b/>
        </w:rPr>
        <w:tab/>
      </w:r>
      <w:r w:rsidRPr="009F77F4">
        <w:rPr>
          <w:rFonts w:ascii="Arial" w:hAnsi="Arial" w:cs="Arial"/>
          <w:b/>
        </w:rPr>
        <w:tab/>
      </w:r>
      <w:r w:rsidRPr="009F77F4">
        <w:rPr>
          <w:rFonts w:ascii="Arial" w:hAnsi="Arial" w:cs="Arial"/>
          <w:b/>
        </w:rPr>
        <w:tab/>
        <w:t xml:space="preserve">   </w:t>
      </w:r>
      <w:r w:rsidRPr="009F77F4">
        <w:rPr>
          <w:rFonts w:ascii="Arial" w:hAnsi="Arial" w:cs="Arial"/>
          <w:b/>
        </w:rPr>
        <w:tab/>
      </w:r>
      <w:r w:rsidRPr="009F77F4">
        <w:rPr>
          <w:rFonts w:ascii="Arial" w:hAnsi="Arial" w:cs="Arial"/>
          <w:b/>
        </w:rPr>
        <w:tab/>
        <w:t xml:space="preserve">           DIREKTOR</w:t>
      </w:r>
    </w:p>
    <w:p w:rsidR="009F77F4" w:rsidRDefault="009F77F4" w:rsidP="009F77F4">
      <w:pPr>
        <w:rPr>
          <w:rFonts w:ascii="Arial" w:hAnsi="Arial" w:cs="Arial"/>
          <w:b/>
        </w:rPr>
      </w:pPr>
      <w:proofErr w:type="spellStart"/>
      <w:proofErr w:type="gramStart"/>
      <w:r w:rsidRPr="009F77F4">
        <w:rPr>
          <w:rFonts w:ascii="Arial" w:hAnsi="Arial" w:cs="Arial"/>
          <w:b/>
        </w:rPr>
        <w:t>Nikšić</w:t>
      </w:r>
      <w:proofErr w:type="spellEnd"/>
      <w:r w:rsidRPr="009F77F4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02.jul</w:t>
      </w:r>
      <w:r w:rsidRPr="009F77F4">
        <w:rPr>
          <w:rFonts w:ascii="Arial" w:hAnsi="Arial" w:cs="Arial"/>
          <w:b/>
        </w:rPr>
        <w:t>.202</w:t>
      </w:r>
      <w:r>
        <w:rPr>
          <w:rFonts w:ascii="Arial" w:hAnsi="Arial" w:cs="Arial"/>
          <w:b/>
        </w:rPr>
        <w:t>4</w:t>
      </w:r>
      <w:r w:rsidRPr="009F77F4">
        <w:rPr>
          <w:rFonts w:ascii="Arial" w:hAnsi="Arial" w:cs="Arial"/>
          <w:b/>
        </w:rPr>
        <w:t>.</w:t>
      </w:r>
      <w:proofErr w:type="gramEnd"/>
      <w:r w:rsidRPr="009F77F4">
        <w:rPr>
          <w:rFonts w:ascii="Arial" w:hAnsi="Arial" w:cs="Arial"/>
          <w:b/>
        </w:rPr>
        <w:t xml:space="preserve"> </w:t>
      </w:r>
      <w:proofErr w:type="spellStart"/>
      <w:proofErr w:type="gramStart"/>
      <w:r w:rsidRPr="009F77F4">
        <w:rPr>
          <w:rFonts w:ascii="Arial" w:hAnsi="Arial" w:cs="Arial"/>
          <w:b/>
        </w:rPr>
        <w:t>go</w:t>
      </w:r>
      <w:r w:rsidR="00AB0F73">
        <w:rPr>
          <w:rFonts w:ascii="Arial" w:hAnsi="Arial" w:cs="Arial"/>
          <w:b/>
        </w:rPr>
        <w:t>dine</w:t>
      </w:r>
      <w:proofErr w:type="spellEnd"/>
      <w:proofErr w:type="gramEnd"/>
      <w:r w:rsidR="00AB0F73">
        <w:rPr>
          <w:rFonts w:ascii="Arial" w:hAnsi="Arial" w:cs="Arial"/>
          <w:b/>
        </w:rPr>
        <w:t xml:space="preserve">    </w:t>
      </w:r>
      <w:r w:rsidR="00AB0F73">
        <w:rPr>
          <w:rFonts w:ascii="Arial" w:hAnsi="Arial" w:cs="Arial"/>
          <w:b/>
        </w:rPr>
        <w:tab/>
        <w:t xml:space="preserve">      </w:t>
      </w:r>
      <w:r w:rsidR="00AB0F73">
        <w:rPr>
          <w:rFonts w:ascii="Arial" w:hAnsi="Arial" w:cs="Arial"/>
          <w:b/>
        </w:rPr>
        <w:tab/>
      </w:r>
      <w:r w:rsidR="00AB0F73">
        <w:rPr>
          <w:rFonts w:ascii="Arial" w:hAnsi="Arial" w:cs="Arial"/>
          <w:b/>
        </w:rPr>
        <w:tab/>
      </w:r>
      <w:r w:rsidR="00AB0F73">
        <w:rPr>
          <w:rFonts w:ascii="Arial" w:hAnsi="Arial" w:cs="Arial"/>
          <w:b/>
        </w:rPr>
        <w:tab/>
        <w:t xml:space="preserve">            </w:t>
      </w:r>
      <w:r w:rsidRPr="009F77F4">
        <w:rPr>
          <w:rFonts w:ascii="Arial" w:hAnsi="Arial" w:cs="Arial"/>
          <w:b/>
        </w:rPr>
        <w:t xml:space="preserve">  Radosav </w:t>
      </w:r>
      <w:proofErr w:type="spellStart"/>
      <w:r w:rsidRPr="009F77F4">
        <w:rPr>
          <w:rFonts w:ascii="Arial" w:hAnsi="Arial" w:cs="Arial"/>
          <w:b/>
        </w:rPr>
        <w:t>Urošević</w:t>
      </w:r>
      <w:r w:rsidR="00AB0F73">
        <w:rPr>
          <w:rFonts w:ascii="Arial" w:hAnsi="Arial" w:cs="Arial"/>
          <w:b/>
        </w:rPr>
        <w:t>,s.r</w:t>
      </w:r>
      <w:proofErr w:type="spellEnd"/>
      <w:r w:rsidR="00AB0F73">
        <w:rPr>
          <w:rFonts w:ascii="Arial" w:hAnsi="Arial" w:cs="Arial"/>
          <w:b/>
        </w:rPr>
        <w:t>.</w:t>
      </w:r>
    </w:p>
    <w:p w:rsidR="00500E8F" w:rsidRPr="009F77F4" w:rsidRDefault="00500E8F" w:rsidP="009F77F4">
      <w:pPr>
        <w:rPr>
          <w:rFonts w:ascii="Arial" w:hAnsi="Arial" w:cs="Arial"/>
          <w:b/>
        </w:rPr>
      </w:pPr>
    </w:p>
    <w:p w:rsidR="009F77F4" w:rsidRPr="009F77F4" w:rsidRDefault="009F77F4" w:rsidP="009F77F4">
      <w:pPr>
        <w:rPr>
          <w:rFonts w:ascii="Arial" w:hAnsi="Arial" w:cs="Arial"/>
          <w:b/>
        </w:rPr>
      </w:pPr>
    </w:p>
    <w:p w:rsidR="009F77F4" w:rsidRPr="009F77F4" w:rsidRDefault="009F77F4" w:rsidP="009F77F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</w:t>
      </w:r>
      <w:r w:rsidR="00500E8F">
        <w:rPr>
          <w:rFonts w:ascii="Arial" w:hAnsi="Arial" w:cs="Arial"/>
          <w:b/>
        </w:rPr>
        <w:t xml:space="preserve">  SEKRETAR</w:t>
      </w:r>
    </w:p>
    <w:p w:rsidR="00AB16F2" w:rsidRPr="00AB16F2" w:rsidRDefault="009F77F4" w:rsidP="009F77F4">
      <w:pPr>
        <w:rPr>
          <w:rFonts w:ascii="Arial" w:hAnsi="Arial" w:cs="Arial"/>
          <w:color w:val="365F91" w:themeColor="accent1" w:themeShade="BF"/>
        </w:rPr>
      </w:pPr>
      <w:r w:rsidRPr="009F77F4">
        <w:rPr>
          <w:rFonts w:ascii="Arial" w:hAnsi="Arial" w:cs="Arial"/>
          <w:b/>
        </w:rPr>
        <w:tab/>
      </w:r>
      <w:r w:rsidRPr="009F77F4">
        <w:rPr>
          <w:rFonts w:ascii="Arial" w:hAnsi="Arial" w:cs="Arial"/>
          <w:b/>
        </w:rPr>
        <w:tab/>
      </w:r>
      <w:r w:rsidRPr="009F77F4">
        <w:rPr>
          <w:rFonts w:ascii="Arial" w:hAnsi="Arial" w:cs="Arial"/>
          <w:b/>
        </w:rPr>
        <w:tab/>
      </w:r>
      <w:r w:rsidRPr="009F77F4">
        <w:rPr>
          <w:rFonts w:ascii="Arial" w:hAnsi="Arial" w:cs="Arial"/>
          <w:b/>
        </w:rPr>
        <w:tab/>
      </w:r>
      <w:r w:rsidRPr="009F77F4">
        <w:rPr>
          <w:rFonts w:ascii="Arial" w:hAnsi="Arial" w:cs="Arial"/>
          <w:b/>
        </w:rPr>
        <w:tab/>
      </w:r>
      <w:r w:rsidRPr="009F77F4">
        <w:rPr>
          <w:rFonts w:ascii="Arial" w:hAnsi="Arial" w:cs="Arial"/>
          <w:b/>
        </w:rPr>
        <w:tab/>
      </w:r>
      <w:r w:rsidRPr="009F77F4">
        <w:rPr>
          <w:rFonts w:ascii="Arial" w:hAnsi="Arial" w:cs="Arial"/>
          <w:b/>
        </w:rPr>
        <w:tab/>
      </w:r>
      <w:r w:rsidRPr="009F77F4">
        <w:rPr>
          <w:rFonts w:ascii="Arial" w:hAnsi="Arial" w:cs="Arial"/>
          <w:b/>
        </w:rPr>
        <w:tab/>
        <w:t xml:space="preserve">         </w:t>
      </w:r>
      <w:r>
        <w:rPr>
          <w:rFonts w:ascii="Arial" w:hAnsi="Arial" w:cs="Arial"/>
          <w:b/>
        </w:rPr>
        <w:t xml:space="preserve">  </w:t>
      </w:r>
      <w:r w:rsidRPr="009F77F4">
        <w:rPr>
          <w:rFonts w:ascii="Arial" w:hAnsi="Arial" w:cs="Arial"/>
          <w:b/>
        </w:rPr>
        <w:t xml:space="preserve">   Milanka Radulović</w:t>
      </w:r>
      <w:r w:rsidR="00AB0F73">
        <w:rPr>
          <w:rFonts w:ascii="Arial" w:hAnsi="Arial" w:cs="Arial"/>
          <w:b/>
        </w:rPr>
        <w:t>,s.r.</w:t>
      </w:r>
    </w:p>
    <w:sectPr w:rsidR="00AB16F2" w:rsidRPr="00AB16F2" w:rsidSect="00AB16F2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540" w:rsidRDefault="00235540" w:rsidP="00BA7396">
      <w:r>
        <w:separator/>
      </w:r>
    </w:p>
  </w:endnote>
  <w:endnote w:type="continuationSeparator" w:id="0">
    <w:p w:rsidR="00235540" w:rsidRDefault="00235540" w:rsidP="00BA7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540" w:rsidRDefault="00235540" w:rsidP="00BA7396">
      <w:r>
        <w:separator/>
      </w:r>
    </w:p>
  </w:footnote>
  <w:footnote w:type="continuationSeparator" w:id="0">
    <w:p w:rsidR="00235540" w:rsidRDefault="00235540" w:rsidP="00BA7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2DAA"/>
    <w:multiLevelType w:val="hybridMultilevel"/>
    <w:tmpl w:val="14684B00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B57D2"/>
    <w:multiLevelType w:val="hybridMultilevel"/>
    <w:tmpl w:val="C696205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013A0"/>
    <w:multiLevelType w:val="hybridMultilevel"/>
    <w:tmpl w:val="2DAEBCCC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D3405"/>
    <w:multiLevelType w:val="hybridMultilevel"/>
    <w:tmpl w:val="B3C89CCA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752755"/>
    <w:multiLevelType w:val="hybridMultilevel"/>
    <w:tmpl w:val="4F2A5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365F91" w:themeColor="accent1" w:themeShade="BF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480A82"/>
    <w:multiLevelType w:val="hybridMultilevel"/>
    <w:tmpl w:val="907E9CE0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1A5C725B"/>
    <w:multiLevelType w:val="hybridMultilevel"/>
    <w:tmpl w:val="AEF45A62"/>
    <w:lvl w:ilvl="0" w:tplc="D0C015EA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F642BB"/>
    <w:multiLevelType w:val="hybridMultilevel"/>
    <w:tmpl w:val="84A6604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7C43E4"/>
    <w:multiLevelType w:val="hybridMultilevel"/>
    <w:tmpl w:val="A5426B4C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F42989"/>
    <w:multiLevelType w:val="hybridMultilevel"/>
    <w:tmpl w:val="4D0A119E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991EE8"/>
    <w:multiLevelType w:val="hybridMultilevel"/>
    <w:tmpl w:val="B9DA689C"/>
    <w:lvl w:ilvl="0" w:tplc="3822B8E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>
    <w:nsid w:val="49BC02A2"/>
    <w:multiLevelType w:val="hybridMultilevel"/>
    <w:tmpl w:val="5AE44FA8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C254D1"/>
    <w:multiLevelType w:val="hybridMultilevel"/>
    <w:tmpl w:val="178C9F28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F73942"/>
    <w:multiLevelType w:val="hybridMultilevel"/>
    <w:tmpl w:val="9A58B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D80FF7"/>
    <w:multiLevelType w:val="hybridMultilevel"/>
    <w:tmpl w:val="5C84A8B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2"/>
  </w:num>
  <w:num w:numId="5">
    <w:abstractNumId w:val="3"/>
  </w:num>
  <w:num w:numId="6">
    <w:abstractNumId w:val="1"/>
  </w:num>
  <w:num w:numId="7">
    <w:abstractNumId w:val="8"/>
  </w:num>
  <w:num w:numId="8">
    <w:abstractNumId w:val="9"/>
  </w:num>
  <w:num w:numId="9">
    <w:abstractNumId w:val="14"/>
  </w:num>
  <w:num w:numId="10">
    <w:abstractNumId w:val="11"/>
  </w:num>
  <w:num w:numId="11">
    <w:abstractNumId w:val="4"/>
  </w:num>
  <w:num w:numId="12">
    <w:abstractNumId w:val="6"/>
  </w:num>
  <w:num w:numId="13">
    <w:abstractNumId w:val="10"/>
  </w:num>
  <w:num w:numId="14">
    <w:abstractNumId w:val="10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EwtzQwMbC0NDY3MDFU0lEKTi0uzszPAykwrAUAmNdT5CwAAAA="/>
  </w:docVars>
  <w:rsids>
    <w:rsidRoot w:val="00BA7396"/>
    <w:rsid w:val="0000426F"/>
    <w:rsid w:val="000114B5"/>
    <w:rsid w:val="000511F0"/>
    <w:rsid w:val="000629D8"/>
    <w:rsid w:val="00067FCF"/>
    <w:rsid w:val="000716AC"/>
    <w:rsid w:val="00075306"/>
    <w:rsid w:val="00091258"/>
    <w:rsid w:val="000A1BF5"/>
    <w:rsid w:val="000A2DE6"/>
    <w:rsid w:val="000E1AC1"/>
    <w:rsid w:val="000E5392"/>
    <w:rsid w:val="000E6101"/>
    <w:rsid w:val="000E7E95"/>
    <w:rsid w:val="00113169"/>
    <w:rsid w:val="00136E1D"/>
    <w:rsid w:val="00154647"/>
    <w:rsid w:val="00162BB1"/>
    <w:rsid w:val="00181002"/>
    <w:rsid w:val="00187A83"/>
    <w:rsid w:val="001A71D8"/>
    <w:rsid w:val="001C7348"/>
    <w:rsid w:val="001D0BF0"/>
    <w:rsid w:val="001D3A73"/>
    <w:rsid w:val="001D4D04"/>
    <w:rsid w:val="001E1794"/>
    <w:rsid w:val="002072BA"/>
    <w:rsid w:val="00215E2C"/>
    <w:rsid w:val="002173FA"/>
    <w:rsid w:val="0022226C"/>
    <w:rsid w:val="00235540"/>
    <w:rsid w:val="00235BF5"/>
    <w:rsid w:val="002474AB"/>
    <w:rsid w:val="0025076F"/>
    <w:rsid w:val="00267C7D"/>
    <w:rsid w:val="00282840"/>
    <w:rsid w:val="002829DE"/>
    <w:rsid w:val="00284A91"/>
    <w:rsid w:val="00294662"/>
    <w:rsid w:val="00295023"/>
    <w:rsid w:val="002A07CA"/>
    <w:rsid w:val="002A6869"/>
    <w:rsid w:val="002C068B"/>
    <w:rsid w:val="002C0B7F"/>
    <w:rsid w:val="002E7569"/>
    <w:rsid w:val="00310915"/>
    <w:rsid w:val="00310EEE"/>
    <w:rsid w:val="00322389"/>
    <w:rsid w:val="00330FF8"/>
    <w:rsid w:val="00357476"/>
    <w:rsid w:val="0037502D"/>
    <w:rsid w:val="00375B76"/>
    <w:rsid w:val="003873AC"/>
    <w:rsid w:val="00392F99"/>
    <w:rsid w:val="00395587"/>
    <w:rsid w:val="003D3FB6"/>
    <w:rsid w:val="003F334E"/>
    <w:rsid w:val="00421C05"/>
    <w:rsid w:val="00445252"/>
    <w:rsid w:val="004649D5"/>
    <w:rsid w:val="0047459A"/>
    <w:rsid w:val="004A1E0B"/>
    <w:rsid w:val="004A4396"/>
    <w:rsid w:val="004B549B"/>
    <w:rsid w:val="004D7305"/>
    <w:rsid w:val="004E1351"/>
    <w:rsid w:val="004F4F9C"/>
    <w:rsid w:val="00500E8F"/>
    <w:rsid w:val="00504237"/>
    <w:rsid w:val="0054756C"/>
    <w:rsid w:val="005505CD"/>
    <w:rsid w:val="005602EB"/>
    <w:rsid w:val="00570A84"/>
    <w:rsid w:val="005805F3"/>
    <w:rsid w:val="00587BD6"/>
    <w:rsid w:val="005A2EBD"/>
    <w:rsid w:val="005C4266"/>
    <w:rsid w:val="005C43FA"/>
    <w:rsid w:val="005F00B7"/>
    <w:rsid w:val="005F03ED"/>
    <w:rsid w:val="005F6D49"/>
    <w:rsid w:val="005F7109"/>
    <w:rsid w:val="00601210"/>
    <w:rsid w:val="006129CD"/>
    <w:rsid w:val="00670BB2"/>
    <w:rsid w:val="006710AA"/>
    <w:rsid w:val="00673F68"/>
    <w:rsid w:val="00681DE1"/>
    <w:rsid w:val="00691E63"/>
    <w:rsid w:val="006A1B2C"/>
    <w:rsid w:val="006A3B25"/>
    <w:rsid w:val="006A3B76"/>
    <w:rsid w:val="006B4020"/>
    <w:rsid w:val="006C4F93"/>
    <w:rsid w:val="006E0761"/>
    <w:rsid w:val="006E4E97"/>
    <w:rsid w:val="006F1605"/>
    <w:rsid w:val="007000DC"/>
    <w:rsid w:val="00702CFF"/>
    <w:rsid w:val="007043B6"/>
    <w:rsid w:val="00705E35"/>
    <w:rsid w:val="00721DB9"/>
    <w:rsid w:val="00733149"/>
    <w:rsid w:val="00734E65"/>
    <w:rsid w:val="00736E8D"/>
    <w:rsid w:val="00741A35"/>
    <w:rsid w:val="00751A33"/>
    <w:rsid w:val="0076682A"/>
    <w:rsid w:val="00790BA0"/>
    <w:rsid w:val="007A1C7D"/>
    <w:rsid w:val="007A482D"/>
    <w:rsid w:val="007C12EB"/>
    <w:rsid w:val="007D05DC"/>
    <w:rsid w:val="007E5C61"/>
    <w:rsid w:val="007E7A0E"/>
    <w:rsid w:val="008047E8"/>
    <w:rsid w:val="008169A7"/>
    <w:rsid w:val="008301C9"/>
    <w:rsid w:val="008322D4"/>
    <w:rsid w:val="00833765"/>
    <w:rsid w:val="0085327D"/>
    <w:rsid w:val="00871235"/>
    <w:rsid w:val="00881042"/>
    <w:rsid w:val="00882BFB"/>
    <w:rsid w:val="008A2781"/>
    <w:rsid w:val="008A5476"/>
    <w:rsid w:val="008B09E9"/>
    <w:rsid w:val="008C0535"/>
    <w:rsid w:val="008C50CA"/>
    <w:rsid w:val="008E33E6"/>
    <w:rsid w:val="008E4862"/>
    <w:rsid w:val="008E6C79"/>
    <w:rsid w:val="008E75A4"/>
    <w:rsid w:val="00935411"/>
    <w:rsid w:val="00944EC8"/>
    <w:rsid w:val="009535C3"/>
    <w:rsid w:val="00960A46"/>
    <w:rsid w:val="00972845"/>
    <w:rsid w:val="00981466"/>
    <w:rsid w:val="009874EB"/>
    <w:rsid w:val="009E489E"/>
    <w:rsid w:val="009F37BA"/>
    <w:rsid w:val="009F43DC"/>
    <w:rsid w:val="009F77F4"/>
    <w:rsid w:val="00A00CAD"/>
    <w:rsid w:val="00A07773"/>
    <w:rsid w:val="00A265F9"/>
    <w:rsid w:val="00A3573A"/>
    <w:rsid w:val="00A44C3E"/>
    <w:rsid w:val="00A538DC"/>
    <w:rsid w:val="00A554D8"/>
    <w:rsid w:val="00A61820"/>
    <w:rsid w:val="00A71595"/>
    <w:rsid w:val="00A863F9"/>
    <w:rsid w:val="00AA0043"/>
    <w:rsid w:val="00AA117E"/>
    <w:rsid w:val="00AB0F73"/>
    <w:rsid w:val="00AB16F2"/>
    <w:rsid w:val="00AC6578"/>
    <w:rsid w:val="00AD100C"/>
    <w:rsid w:val="00AD48A3"/>
    <w:rsid w:val="00B21F55"/>
    <w:rsid w:val="00B2646E"/>
    <w:rsid w:val="00B40AA1"/>
    <w:rsid w:val="00B535B4"/>
    <w:rsid w:val="00B5453D"/>
    <w:rsid w:val="00B7089B"/>
    <w:rsid w:val="00B745B3"/>
    <w:rsid w:val="00B763F3"/>
    <w:rsid w:val="00BA7396"/>
    <w:rsid w:val="00BA7877"/>
    <w:rsid w:val="00BB753E"/>
    <w:rsid w:val="00BB7FE5"/>
    <w:rsid w:val="00BC4165"/>
    <w:rsid w:val="00BD4282"/>
    <w:rsid w:val="00BE11B9"/>
    <w:rsid w:val="00C0540E"/>
    <w:rsid w:val="00C07A0F"/>
    <w:rsid w:val="00C07F61"/>
    <w:rsid w:val="00C10D31"/>
    <w:rsid w:val="00C111D8"/>
    <w:rsid w:val="00C179F9"/>
    <w:rsid w:val="00C450DD"/>
    <w:rsid w:val="00C4768D"/>
    <w:rsid w:val="00C5148C"/>
    <w:rsid w:val="00C549B4"/>
    <w:rsid w:val="00C6561D"/>
    <w:rsid w:val="00C72668"/>
    <w:rsid w:val="00C75DF0"/>
    <w:rsid w:val="00C773E3"/>
    <w:rsid w:val="00C87DA2"/>
    <w:rsid w:val="00C96017"/>
    <w:rsid w:val="00CA3365"/>
    <w:rsid w:val="00CC63BD"/>
    <w:rsid w:val="00CD676C"/>
    <w:rsid w:val="00CD7298"/>
    <w:rsid w:val="00D06D2A"/>
    <w:rsid w:val="00D104AD"/>
    <w:rsid w:val="00D25692"/>
    <w:rsid w:val="00D27C82"/>
    <w:rsid w:val="00D4308A"/>
    <w:rsid w:val="00D4705A"/>
    <w:rsid w:val="00D61DAA"/>
    <w:rsid w:val="00D64F9A"/>
    <w:rsid w:val="00D7389C"/>
    <w:rsid w:val="00D87CB1"/>
    <w:rsid w:val="00D93275"/>
    <w:rsid w:val="00DF5EA1"/>
    <w:rsid w:val="00DF74CC"/>
    <w:rsid w:val="00E02377"/>
    <w:rsid w:val="00E3478E"/>
    <w:rsid w:val="00E5355A"/>
    <w:rsid w:val="00E61671"/>
    <w:rsid w:val="00E721E9"/>
    <w:rsid w:val="00ED0AF4"/>
    <w:rsid w:val="00ED0F74"/>
    <w:rsid w:val="00ED4766"/>
    <w:rsid w:val="00EE0637"/>
    <w:rsid w:val="00F20105"/>
    <w:rsid w:val="00F72683"/>
    <w:rsid w:val="00F7433F"/>
    <w:rsid w:val="00F829CD"/>
    <w:rsid w:val="00FA0BC1"/>
    <w:rsid w:val="00FA2946"/>
    <w:rsid w:val="00FA4316"/>
    <w:rsid w:val="00FB2418"/>
    <w:rsid w:val="00FB6BD5"/>
    <w:rsid w:val="00FB7CBA"/>
    <w:rsid w:val="00FC367E"/>
    <w:rsid w:val="00FC3B2C"/>
    <w:rsid w:val="00FF1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Branko"/>
    <w:qFormat/>
    <w:rsid w:val="00BA7396"/>
    <w:pPr>
      <w:spacing w:after="0" w:line="240" w:lineRule="auto"/>
      <w:jc w:val="both"/>
    </w:pPr>
    <w:rPr>
      <w:rFonts w:ascii="Garamond" w:eastAsia="Times New Roman" w:hAnsi="Garamond" w:cs="Times New Roman"/>
      <w:bCs/>
      <w:sz w:val="24"/>
      <w:lang w:val="en-GB" w:eastAsia="en-GB"/>
    </w:rPr>
  </w:style>
  <w:style w:type="paragraph" w:styleId="Heading2">
    <w:name w:val="heading 2"/>
    <w:basedOn w:val="Normal"/>
    <w:next w:val="Normal"/>
    <w:link w:val="Heading2Char"/>
    <w:autoRedefine/>
    <w:qFormat/>
    <w:rsid w:val="00BA7396"/>
    <w:pPr>
      <w:keepNext/>
      <w:numPr>
        <w:numId w:val="12"/>
      </w:numPr>
      <w:spacing w:before="240" w:after="60"/>
      <w:outlineLvl w:val="1"/>
    </w:pPr>
    <w:rPr>
      <w:rFonts w:ascii="Arial" w:hAnsi="Arial" w:cs="Arial"/>
      <w:b/>
      <w:i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A7396"/>
    <w:rPr>
      <w:rFonts w:ascii="Arial" w:eastAsia="Times New Roman" w:hAnsi="Arial" w:cs="Arial"/>
      <w:b/>
      <w:bCs/>
      <w:iCs/>
      <w:szCs w:val="28"/>
      <w:lang w:val="en-GB" w:eastAsia="en-GB"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BA7396"/>
    <w:pPr>
      <w:spacing w:before="40" w:after="40"/>
      <w:jc w:val="left"/>
    </w:pPr>
    <w:rPr>
      <w:rFonts w:ascii="Arial" w:hAnsi="Arial" w:cs="Arial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7396"/>
    <w:rPr>
      <w:rFonts w:ascii="Arial" w:eastAsia="Times New Roman" w:hAnsi="Arial" w:cs="Arial"/>
      <w:bCs/>
      <w:sz w:val="16"/>
      <w:szCs w:val="16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rsid w:val="00BA7396"/>
    <w:rPr>
      <w:rFonts w:ascii="Garamond" w:hAnsi="Garamond"/>
      <w:sz w:val="20"/>
      <w:vertAlign w:val="superscript"/>
    </w:rPr>
  </w:style>
  <w:style w:type="paragraph" w:styleId="ListParagraph">
    <w:name w:val="List Paragraph"/>
    <w:basedOn w:val="Normal"/>
    <w:uiPriority w:val="99"/>
    <w:qFormat/>
    <w:rsid w:val="00BA7396"/>
    <w:pPr>
      <w:ind w:left="720"/>
    </w:pPr>
  </w:style>
  <w:style w:type="table" w:styleId="TableGrid">
    <w:name w:val="Table Grid"/>
    <w:basedOn w:val="TableNormal"/>
    <w:uiPriority w:val="59"/>
    <w:rsid w:val="00832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pand1">
    <w:name w:val="expand1"/>
    <w:basedOn w:val="DefaultParagraphFont"/>
    <w:rsid w:val="005F03ED"/>
    <w:rPr>
      <w:rFonts w:ascii="Arial" w:hAnsi="Arial" w:cs="Arial" w:hint="default"/>
      <w:i w:val="0"/>
      <w:iCs w:val="0"/>
      <w:vanish/>
      <w:webHidden w:val="0"/>
      <w:sz w:val="18"/>
      <w:szCs w:val="18"/>
      <w:specVanish w:val="0"/>
    </w:rPr>
  </w:style>
  <w:style w:type="table" w:styleId="LightGrid-Accent5">
    <w:name w:val="Light Grid Accent 5"/>
    <w:basedOn w:val="TableNormal"/>
    <w:uiPriority w:val="62"/>
    <w:rsid w:val="000511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67F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FCF"/>
    <w:rPr>
      <w:rFonts w:ascii="Tahoma" w:eastAsia="Times New Roman" w:hAnsi="Tahoma" w:cs="Tahoma"/>
      <w:bCs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D0B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0B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BF0"/>
    <w:rPr>
      <w:rFonts w:ascii="Garamond" w:eastAsia="Times New Roman" w:hAnsi="Garamond" w:cs="Times New Roman"/>
      <w:bCs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BF0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BF0"/>
    <w:rPr>
      <w:rFonts w:ascii="Garamond" w:eastAsia="Times New Roman" w:hAnsi="Garamond" w:cs="Times New Roman"/>
      <w:b/>
      <w:bCs/>
      <w:sz w:val="20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Branko"/>
    <w:qFormat/>
    <w:rsid w:val="00BA7396"/>
    <w:pPr>
      <w:spacing w:after="0" w:line="240" w:lineRule="auto"/>
      <w:jc w:val="both"/>
    </w:pPr>
    <w:rPr>
      <w:rFonts w:ascii="Garamond" w:eastAsia="Times New Roman" w:hAnsi="Garamond" w:cs="Times New Roman"/>
      <w:bCs/>
      <w:sz w:val="24"/>
      <w:lang w:val="en-GB" w:eastAsia="en-GB"/>
    </w:rPr>
  </w:style>
  <w:style w:type="paragraph" w:styleId="Heading2">
    <w:name w:val="heading 2"/>
    <w:basedOn w:val="Normal"/>
    <w:next w:val="Normal"/>
    <w:link w:val="Heading2Char"/>
    <w:autoRedefine/>
    <w:qFormat/>
    <w:rsid w:val="00BA7396"/>
    <w:pPr>
      <w:keepNext/>
      <w:numPr>
        <w:numId w:val="12"/>
      </w:numPr>
      <w:spacing w:before="240" w:after="60"/>
      <w:outlineLvl w:val="1"/>
    </w:pPr>
    <w:rPr>
      <w:rFonts w:ascii="Arial" w:hAnsi="Arial" w:cs="Arial"/>
      <w:b/>
      <w:i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A7396"/>
    <w:rPr>
      <w:rFonts w:ascii="Arial" w:eastAsia="Times New Roman" w:hAnsi="Arial" w:cs="Arial"/>
      <w:b/>
      <w:bCs/>
      <w:iCs/>
      <w:szCs w:val="28"/>
      <w:lang w:val="en-GB" w:eastAsia="en-GB"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BA7396"/>
    <w:pPr>
      <w:spacing w:before="40" w:after="40"/>
      <w:jc w:val="left"/>
    </w:pPr>
    <w:rPr>
      <w:rFonts w:ascii="Arial" w:hAnsi="Arial" w:cs="Arial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7396"/>
    <w:rPr>
      <w:rFonts w:ascii="Arial" w:eastAsia="Times New Roman" w:hAnsi="Arial" w:cs="Arial"/>
      <w:bCs/>
      <w:sz w:val="16"/>
      <w:szCs w:val="16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rsid w:val="00BA7396"/>
    <w:rPr>
      <w:rFonts w:ascii="Garamond" w:hAnsi="Garamond"/>
      <w:sz w:val="20"/>
      <w:vertAlign w:val="superscript"/>
    </w:rPr>
  </w:style>
  <w:style w:type="paragraph" w:styleId="ListParagraph">
    <w:name w:val="List Paragraph"/>
    <w:basedOn w:val="Normal"/>
    <w:uiPriority w:val="99"/>
    <w:qFormat/>
    <w:rsid w:val="00BA7396"/>
    <w:pPr>
      <w:ind w:left="720"/>
    </w:pPr>
  </w:style>
  <w:style w:type="table" w:styleId="TableGrid">
    <w:name w:val="Table Grid"/>
    <w:basedOn w:val="TableNormal"/>
    <w:uiPriority w:val="59"/>
    <w:rsid w:val="00832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pand1">
    <w:name w:val="expand1"/>
    <w:basedOn w:val="DefaultParagraphFont"/>
    <w:rsid w:val="005F03ED"/>
    <w:rPr>
      <w:rFonts w:ascii="Arial" w:hAnsi="Arial" w:cs="Arial" w:hint="default"/>
      <w:i w:val="0"/>
      <w:iCs w:val="0"/>
      <w:vanish/>
      <w:webHidden w:val="0"/>
      <w:sz w:val="18"/>
      <w:szCs w:val="18"/>
      <w:specVanish w:val="0"/>
    </w:rPr>
  </w:style>
  <w:style w:type="table" w:styleId="LightGrid-Accent5">
    <w:name w:val="Light Grid Accent 5"/>
    <w:basedOn w:val="TableNormal"/>
    <w:uiPriority w:val="62"/>
    <w:rsid w:val="000511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67F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FCF"/>
    <w:rPr>
      <w:rFonts w:ascii="Tahoma" w:eastAsia="Times New Roman" w:hAnsi="Tahoma" w:cs="Tahoma"/>
      <w:bCs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D0B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0B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BF0"/>
    <w:rPr>
      <w:rFonts w:ascii="Garamond" w:eastAsia="Times New Roman" w:hAnsi="Garamond" w:cs="Times New Roman"/>
      <w:bCs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BF0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BF0"/>
    <w:rPr>
      <w:rFonts w:ascii="Garamond" w:eastAsia="Times New Roman" w:hAnsi="Garamond" w:cs="Times New Roman"/>
      <w:b/>
      <w:bCs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6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34C99-0C0F-4474-9327-6AF2EC8DA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1215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Marusic</dc:creator>
  <cp:lastModifiedBy>Biljana Đurović</cp:lastModifiedBy>
  <cp:revision>10</cp:revision>
  <cp:lastPrinted>2024-07-02T11:50:00Z</cp:lastPrinted>
  <dcterms:created xsi:type="dcterms:W3CDTF">2024-07-02T10:26:00Z</dcterms:created>
  <dcterms:modified xsi:type="dcterms:W3CDTF">2024-07-03T10:02:00Z</dcterms:modified>
</cp:coreProperties>
</file>