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26DC9" w14:textId="69C3B3EE" w:rsidR="00F5645E" w:rsidRPr="00D01B63" w:rsidRDefault="00676F7E" w:rsidP="001E36AF">
      <w:pPr>
        <w:spacing w:after="0"/>
        <w:ind w:right="539"/>
        <w:jc w:val="center"/>
        <w:outlineLvl w:val="0"/>
        <w:rPr>
          <w:b/>
          <w:bCs/>
          <w:sz w:val="44"/>
          <w:szCs w:val="44"/>
          <w:lang w:val="sr-Latn-CS"/>
        </w:rPr>
      </w:pPr>
      <w:r>
        <w:rPr>
          <w:noProof/>
          <w:lang w:val="sr-Latn-ME" w:eastAsia="sr-Latn-ME"/>
        </w:rPr>
        <w:drawing>
          <wp:inline distT="0" distB="0" distL="0" distR="0" wp14:anchorId="13DA9318" wp14:editId="4D5C708C">
            <wp:extent cx="62007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A7A56" w14:textId="77777777" w:rsidR="00F5645E" w:rsidRPr="00D01B63" w:rsidRDefault="00F5645E" w:rsidP="00F5645E">
      <w:pPr>
        <w:spacing w:after="0"/>
        <w:ind w:left="720" w:right="539"/>
        <w:jc w:val="center"/>
        <w:outlineLvl w:val="0"/>
        <w:rPr>
          <w:b/>
          <w:bCs/>
          <w:sz w:val="44"/>
          <w:szCs w:val="44"/>
          <w:lang w:val="sr-Latn-CS"/>
        </w:rPr>
      </w:pPr>
    </w:p>
    <w:p w14:paraId="4C53DF34" w14:textId="77777777" w:rsidR="00F5645E" w:rsidRPr="00D01B63" w:rsidRDefault="00F5645E" w:rsidP="00F5645E">
      <w:pPr>
        <w:spacing w:after="0"/>
        <w:ind w:left="720" w:right="539"/>
        <w:jc w:val="center"/>
        <w:outlineLvl w:val="0"/>
        <w:rPr>
          <w:b/>
          <w:bCs/>
          <w:sz w:val="44"/>
          <w:szCs w:val="44"/>
          <w:lang w:val="sr-Latn-CS"/>
        </w:rPr>
      </w:pPr>
    </w:p>
    <w:p w14:paraId="4DCDE6FF" w14:textId="6F23A1D8" w:rsidR="00676F7E" w:rsidRDefault="00676F7E" w:rsidP="00F5645E">
      <w:pPr>
        <w:spacing w:after="0"/>
        <w:ind w:right="539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lang w:val="sr-Cyrl-ME"/>
        </w:rPr>
      </w:pPr>
    </w:p>
    <w:p w14:paraId="40A99CFA" w14:textId="6E568BF7" w:rsidR="00676F7E" w:rsidRDefault="00676F7E" w:rsidP="00F5645E">
      <w:pPr>
        <w:spacing w:after="0"/>
        <w:ind w:right="539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lang w:val="sr-Cyrl-ME"/>
        </w:rPr>
      </w:pPr>
    </w:p>
    <w:p w14:paraId="09446C29" w14:textId="20F603E3" w:rsidR="00615012" w:rsidRDefault="00615012" w:rsidP="00F5645E">
      <w:pPr>
        <w:spacing w:after="0"/>
        <w:ind w:right="539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lang w:val="sr-Cyrl-ME"/>
        </w:rPr>
      </w:pPr>
    </w:p>
    <w:p w14:paraId="18FFEEA3" w14:textId="77777777" w:rsidR="00615012" w:rsidRDefault="00615012" w:rsidP="00F5645E">
      <w:pPr>
        <w:spacing w:after="0"/>
        <w:ind w:right="539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lang w:val="sr-Cyrl-ME"/>
        </w:rPr>
      </w:pPr>
    </w:p>
    <w:p w14:paraId="3ADF953B" w14:textId="6A800F0A" w:rsidR="00F5645E" w:rsidRPr="00F5645E" w:rsidRDefault="00F5645E" w:rsidP="00F5645E">
      <w:pPr>
        <w:spacing w:after="0"/>
        <w:ind w:right="539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lang w:val="sr-Cyrl-ME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sr-Cyrl-ME"/>
        </w:rPr>
        <w:t>ПРОГРАМ РАДА ЈАВНЕ УСТАНОВЕ НИКШИЋКО ПОЗОРИШТЕ ЗА 2024. ГОДИНУ</w:t>
      </w:r>
    </w:p>
    <w:p w14:paraId="2E6CBD72" w14:textId="77777777" w:rsidR="00F5645E" w:rsidRPr="00D01B63" w:rsidRDefault="00F5645E" w:rsidP="00F5645E">
      <w:pPr>
        <w:tabs>
          <w:tab w:val="left" w:pos="2325"/>
        </w:tabs>
        <w:spacing w:after="0"/>
        <w:ind w:left="720" w:right="539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lang w:val="sr-Latn-CS"/>
        </w:rPr>
      </w:pPr>
    </w:p>
    <w:p w14:paraId="1CAC7D0E" w14:textId="77777777" w:rsidR="00F5645E" w:rsidRPr="00D01B63" w:rsidRDefault="00F5645E" w:rsidP="00F5645E">
      <w:pPr>
        <w:spacing w:after="0"/>
        <w:ind w:left="720" w:right="539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lang w:val="sr-Latn-CS"/>
        </w:rPr>
      </w:pPr>
    </w:p>
    <w:p w14:paraId="2046563C" w14:textId="77777777" w:rsidR="00F5645E" w:rsidRPr="00D01B63" w:rsidRDefault="00F5645E" w:rsidP="00F5645E">
      <w:pPr>
        <w:spacing w:after="0"/>
        <w:ind w:left="720" w:right="539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lang w:val="sr-Latn-CS"/>
        </w:rPr>
      </w:pPr>
    </w:p>
    <w:p w14:paraId="18DC4345" w14:textId="38E036C9" w:rsidR="00F5645E" w:rsidRDefault="00F5645E" w:rsidP="00F5645E">
      <w:pPr>
        <w:spacing w:after="0"/>
        <w:ind w:left="720" w:right="539"/>
        <w:jc w:val="center"/>
        <w:outlineLvl w:val="0"/>
        <w:rPr>
          <w:b/>
          <w:bCs/>
          <w:sz w:val="36"/>
          <w:szCs w:val="36"/>
          <w:lang w:val="sr-Latn-CS"/>
        </w:rPr>
      </w:pPr>
    </w:p>
    <w:p w14:paraId="0CA28E78" w14:textId="53405614" w:rsidR="001E36AF" w:rsidRDefault="001E36AF" w:rsidP="00F5645E">
      <w:pPr>
        <w:spacing w:after="0"/>
        <w:ind w:left="720" w:right="539"/>
        <w:jc w:val="center"/>
        <w:outlineLvl w:val="0"/>
        <w:rPr>
          <w:b/>
          <w:bCs/>
          <w:sz w:val="36"/>
          <w:szCs w:val="36"/>
          <w:lang w:val="sr-Latn-CS"/>
        </w:rPr>
      </w:pPr>
    </w:p>
    <w:p w14:paraId="663317DA" w14:textId="5126F730" w:rsidR="001E36AF" w:rsidRDefault="001E36AF" w:rsidP="00F5645E">
      <w:pPr>
        <w:spacing w:after="0"/>
        <w:ind w:left="720" w:right="539"/>
        <w:jc w:val="center"/>
        <w:outlineLvl w:val="0"/>
        <w:rPr>
          <w:b/>
          <w:bCs/>
          <w:sz w:val="36"/>
          <w:szCs w:val="36"/>
          <w:lang w:val="sr-Latn-CS"/>
        </w:rPr>
      </w:pPr>
    </w:p>
    <w:p w14:paraId="5EE5C2FA" w14:textId="2F75E928" w:rsidR="001E36AF" w:rsidRDefault="001E36AF" w:rsidP="00F5645E">
      <w:pPr>
        <w:spacing w:after="0"/>
        <w:ind w:left="720" w:right="539"/>
        <w:jc w:val="center"/>
        <w:outlineLvl w:val="0"/>
        <w:rPr>
          <w:b/>
          <w:bCs/>
          <w:sz w:val="36"/>
          <w:szCs w:val="36"/>
          <w:lang w:val="sr-Latn-CS"/>
        </w:rPr>
      </w:pPr>
    </w:p>
    <w:p w14:paraId="597E726E" w14:textId="77777777" w:rsidR="001E36AF" w:rsidRDefault="001E36AF" w:rsidP="00F5645E">
      <w:pPr>
        <w:spacing w:after="0"/>
        <w:ind w:left="720" w:right="539"/>
        <w:jc w:val="center"/>
        <w:outlineLvl w:val="0"/>
        <w:rPr>
          <w:b/>
          <w:bCs/>
          <w:sz w:val="36"/>
          <w:szCs w:val="36"/>
          <w:lang w:val="sr-Latn-CS"/>
        </w:rPr>
      </w:pPr>
    </w:p>
    <w:p w14:paraId="550D5FD1" w14:textId="77777777" w:rsidR="00F5645E" w:rsidRPr="00D01B63" w:rsidRDefault="00F5645E" w:rsidP="00F5645E">
      <w:pPr>
        <w:spacing w:after="0"/>
        <w:ind w:left="720" w:right="539"/>
        <w:jc w:val="center"/>
        <w:outlineLvl w:val="0"/>
        <w:rPr>
          <w:b/>
          <w:bCs/>
          <w:sz w:val="36"/>
          <w:szCs w:val="36"/>
          <w:lang w:val="sr-Latn-CS"/>
        </w:rPr>
      </w:pPr>
    </w:p>
    <w:p w14:paraId="7D21C624" w14:textId="2D72AE85" w:rsidR="00F5645E" w:rsidRDefault="00F5645E" w:rsidP="00F5645E">
      <w:pPr>
        <w:tabs>
          <w:tab w:val="left" w:pos="2730"/>
        </w:tabs>
        <w:spacing w:after="0"/>
        <w:ind w:left="720" w:right="539"/>
        <w:outlineLvl w:val="0"/>
        <w:rPr>
          <w:b/>
          <w:bCs/>
          <w:sz w:val="36"/>
          <w:szCs w:val="36"/>
          <w:lang w:val="sr-Latn-CS"/>
        </w:rPr>
      </w:pPr>
      <w:r w:rsidRPr="00D01B63">
        <w:rPr>
          <w:b/>
          <w:bCs/>
          <w:sz w:val="36"/>
          <w:szCs w:val="36"/>
          <w:lang w:val="sr-Latn-CS"/>
        </w:rPr>
        <w:tab/>
      </w:r>
    </w:p>
    <w:p w14:paraId="13BB3E87" w14:textId="17F288B6" w:rsidR="00F5645E" w:rsidRPr="00F5645E" w:rsidRDefault="00F5645E" w:rsidP="00F5645E">
      <w:pPr>
        <w:spacing w:after="0"/>
        <w:ind w:left="720" w:right="539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lang w:val="sr-Cyrl-ME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sr-Cyrl-ME"/>
        </w:rPr>
        <w:t>Никшић, децембар 2023. године</w:t>
      </w:r>
    </w:p>
    <w:p w14:paraId="3D7784BE" w14:textId="77777777" w:rsidR="00F5645E" w:rsidRPr="00F5645E" w:rsidRDefault="00F5645E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</w:rPr>
      </w:pPr>
      <w:r w:rsidRPr="00F5645E">
        <w:rPr>
          <w:rFonts w:ascii="Times New Roman" w:hAnsi="Times New Roman" w:cs="Times New Roman"/>
          <w:b/>
          <w:bCs/>
          <w:sz w:val="32"/>
          <w:szCs w:val="32"/>
          <w:lang w:val="sr-Latn-RS"/>
        </w:rPr>
        <w:lastRenderedPageBreak/>
        <w:t>Садржај:</w:t>
      </w:r>
    </w:p>
    <w:p w14:paraId="1382822C" w14:textId="16292781" w:rsidR="00F5645E" w:rsidRDefault="00F5645E" w:rsidP="00F5645E">
      <w:pPr>
        <w:shd w:val="clear" w:color="auto" w:fill="FCFCFC"/>
        <w:spacing w:before="100" w:beforeAutospacing="1" w:after="100" w:afterAutospacing="1" w:line="360" w:lineRule="atLeast"/>
        <w:ind w:left="810" w:right="540" w:hanging="270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F5645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  </w:t>
      </w:r>
    </w:p>
    <w:p w14:paraId="43DD3F54" w14:textId="19D34D96" w:rsidR="00DE2E30" w:rsidRDefault="00DE2E30" w:rsidP="00F5645E">
      <w:pPr>
        <w:shd w:val="clear" w:color="auto" w:fill="FCFCFC"/>
        <w:spacing w:before="100" w:beforeAutospacing="1" w:after="100" w:afterAutospacing="1" w:line="360" w:lineRule="atLeast"/>
        <w:ind w:left="810" w:right="540" w:hanging="270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5A5445B0" w14:textId="6E0254BD" w:rsidR="00DE2E30" w:rsidRDefault="00DE2E30" w:rsidP="00F5645E">
      <w:pPr>
        <w:shd w:val="clear" w:color="auto" w:fill="FCFCFC"/>
        <w:spacing w:before="100" w:beforeAutospacing="1" w:after="100" w:afterAutospacing="1" w:line="360" w:lineRule="atLeast"/>
        <w:ind w:left="810" w:right="540" w:hanging="270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6A79D4C3" w14:textId="77777777" w:rsidR="00DE2E30" w:rsidRPr="00F5645E" w:rsidRDefault="00DE2E30" w:rsidP="00F5645E">
      <w:pPr>
        <w:shd w:val="clear" w:color="auto" w:fill="FCFCFC"/>
        <w:spacing w:before="100" w:beforeAutospacing="1" w:after="100" w:afterAutospacing="1" w:line="360" w:lineRule="atLeast"/>
        <w:ind w:left="810" w:right="540" w:hanging="270"/>
        <w:rPr>
          <w:rFonts w:ascii="Times New Roman" w:hAnsi="Times New Roman" w:cs="Times New Roman"/>
        </w:rPr>
      </w:pPr>
    </w:p>
    <w:p w14:paraId="4C9F9834" w14:textId="219ED3BE" w:rsidR="00C35572" w:rsidRPr="00C35572" w:rsidRDefault="00F5645E" w:rsidP="00C35572">
      <w:pPr>
        <w:pStyle w:val="ListParagraph"/>
        <w:numPr>
          <w:ilvl w:val="2"/>
          <w:numId w:val="5"/>
        </w:numPr>
        <w:shd w:val="clear" w:color="auto" w:fill="FCFCFC"/>
        <w:spacing w:line="360" w:lineRule="atLeast"/>
        <w:ind w:left="810" w:right="-18" w:hanging="270"/>
        <w:jc w:val="both"/>
        <w:rPr>
          <w:rFonts w:ascii="Times New Roman" w:hAnsi="Times New Roman" w:cs="Times New Roman"/>
        </w:rPr>
      </w:pPr>
      <w:r w:rsidRPr="00F5645E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Увод</w:t>
      </w:r>
      <w:r w:rsidRPr="00F5645E">
        <w:rPr>
          <w:rFonts w:ascii="Times New Roman" w:hAnsi="Times New Roman" w:cs="Times New Roman"/>
          <w:sz w:val="32"/>
          <w:szCs w:val="32"/>
          <w:lang w:val="sr-Latn-RS"/>
        </w:rPr>
        <w:t>..................</w:t>
      </w:r>
      <w:r>
        <w:rPr>
          <w:rFonts w:ascii="Times New Roman" w:hAnsi="Times New Roman" w:cs="Times New Roman"/>
          <w:sz w:val="32"/>
          <w:szCs w:val="32"/>
          <w:lang w:val="sr-Cyrl-ME"/>
        </w:rPr>
        <w:t>..............</w:t>
      </w:r>
      <w:r w:rsidRPr="00F5645E">
        <w:rPr>
          <w:rFonts w:ascii="Times New Roman" w:hAnsi="Times New Roman" w:cs="Times New Roman"/>
          <w:sz w:val="32"/>
          <w:szCs w:val="32"/>
          <w:lang w:val="sr-Latn-RS"/>
        </w:rPr>
        <w:t>...............................................................</w:t>
      </w:r>
      <w:r w:rsidRPr="00F5645E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</w:t>
      </w:r>
    </w:p>
    <w:p w14:paraId="652DD31F" w14:textId="77777777" w:rsidR="00C35572" w:rsidRPr="00C35572" w:rsidRDefault="00C35572" w:rsidP="00C35572">
      <w:pPr>
        <w:shd w:val="clear" w:color="auto" w:fill="FCFCFC"/>
        <w:spacing w:line="360" w:lineRule="atLeast"/>
        <w:ind w:right="-18"/>
        <w:jc w:val="both"/>
        <w:rPr>
          <w:rFonts w:ascii="Times New Roman" w:hAnsi="Times New Roman" w:cs="Times New Roman"/>
        </w:rPr>
      </w:pPr>
    </w:p>
    <w:p w14:paraId="143184CF" w14:textId="67299FD8" w:rsidR="00F5645E" w:rsidRPr="00C35572" w:rsidRDefault="00C35572" w:rsidP="006965E4">
      <w:pPr>
        <w:pStyle w:val="ListParagraph"/>
        <w:numPr>
          <w:ilvl w:val="2"/>
          <w:numId w:val="5"/>
        </w:numPr>
        <w:shd w:val="clear" w:color="auto" w:fill="FCFCFC"/>
        <w:spacing w:line="360" w:lineRule="atLeast"/>
        <w:ind w:left="810" w:right="72" w:hanging="270"/>
        <w:jc w:val="both"/>
        <w:rPr>
          <w:rFonts w:ascii="Times New Roman" w:hAnsi="Times New Roman" w:cs="Times New Roman"/>
        </w:rPr>
      </w:pPr>
      <w:r w:rsidRPr="00C35572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План рада умјетничке продукције за 2024. годину</w:t>
      </w:r>
      <w:r w:rsidR="00F5645E" w:rsidRPr="00C35572">
        <w:rPr>
          <w:rFonts w:ascii="Times New Roman" w:hAnsi="Times New Roman" w:cs="Times New Roman"/>
          <w:spacing w:val="-6"/>
          <w:sz w:val="32"/>
          <w:szCs w:val="32"/>
          <w:lang w:val="sr-Latn-RS"/>
        </w:rPr>
        <w:t>.</w:t>
      </w:r>
      <w:r>
        <w:rPr>
          <w:rFonts w:ascii="Times New Roman" w:hAnsi="Times New Roman" w:cs="Times New Roman"/>
          <w:spacing w:val="-6"/>
          <w:sz w:val="32"/>
          <w:szCs w:val="32"/>
          <w:lang w:val="sr-Latn-RS"/>
        </w:rPr>
        <w:t>...</w:t>
      </w:r>
      <w:r w:rsidR="00F5645E" w:rsidRPr="00C35572">
        <w:rPr>
          <w:rFonts w:ascii="Times New Roman" w:hAnsi="Times New Roman" w:cs="Times New Roman"/>
          <w:spacing w:val="-6"/>
          <w:sz w:val="32"/>
          <w:szCs w:val="32"/>
          <w:lang w:val="sr-Latn-RS"/>
        </w:rPr>
        <w:t>...</w:t>
      </w:r>
      <w:r w:rsidR="00F5645E" w:rsidRPr="00C35572">
        <w:rPr>
          <w:rFonts w:ascii="Times New Roman" w:hAnsi="Times New Roman" w:cs="Times New Roman"/>
          <w:spacing w:val="-6"/>
          <w:sz w:val="32"/>
          <w:szCs w:val="32"/>
          <w:lang w:val="sr-Cyrl-ME"/>
        </w:rPr>
        <w:t>.........</w:t>
      </w:r>
      <w:r w:rsidR="00F5645E" w:rsidRPr="00C35572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4</w:t>
      </w:r>
    </w:p>
    <w:p w14:paraId="4AC0ADE0" w14:textId="7614D705" w:rsidR="00F5645E" w:rsidRPr="00F5645E" w:rsidRDefault="00F5645E" w:rsidP="00F5645E">
      <w:pPr>
        <w:shd w:val="clear" w:color="auto" w:fill="FCFCFC"/>
        <w:spacing w:before="100" w:beforeAutospacing="1" w:after="100" w:afterAutospacing="1" w:line="360" w:lineRule="atLeast"/>
        <w:ind w:left="810" w:right="540" w:hanging="270"/>
        <w:jc w:val="both"/>
        <w:rPr>
          <w:rFonts w:ascii="Times New Roman" w:hAnsi="Times New Roman" w:cs="Times New Roman"/>
        </w:rPr>
      </w:pPr>
    </w:p>
    <w:p w14:paraId="5CDB3873" w14:textId="65B9B949" w:rsidR="00F5645E" w:rsidRPr="00F5645E" w:rsidRDefault="00C35572" w:rsidP="00F5645E">
      <w:pPr>
        <w:pStyle w:val="ListParagraph"/>
        <w:numPr>
          <w:ilvl w:val="2"/>
          <w:numId w:val="5"/>
        </w:numPr>
        <w:shd w:val="clear" w:color="auto" w:fill="FCFCFC"/>
        <w:spacing w:line="360" w:lineRule="atLeast"/>
        <w:ind w:left="810" w:right="-18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 xml:space="preserve">20. </w:t>
      </w:r>
      <w:r w:rsidR="00F5645E"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„Међународни фестивал глумца – Никшић 202</w:t>
      </w:r>
      <w:r w:rsidR="00F5645E"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Cyrl-ME"/>
        </w:rPr>
        <w:t>4</w:t>
      </w:r>
      <w:r w:rsidR="00F5645E"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“</w:t>
      </w:r>
      <w:r w:rsidR="00F5645E" w:rsidRPr="00F5645E">
        <w:rPr>
          <w:rFonts w:ascii="Times New Roman" w:hAnsi="Times New Roman" w:cs="Times New Roman"/>
          <w:spacing w:val="-6"/>
          <w:sz w:val="32"/>
          <w:szCs w:val="32"/>
          <w:lang w:val="sr-Latn-RS"/>
        </w:rPr>
        <w:t>.</w:t>
      </w:r>
      <w:r>
        <w:rPr>
          <w:rFonts w:ascii="Times New Roman" w:hAnsi="Times New Roman" w:cs="Times New Roman"/>
          <w:spacing w:val="-6"/>
          <w:sz w:val="32"/>
          <w:szCs w:val="32"/>
          <w:lang w:val="sr-Latn-RS"/>
        </w:rPr>
        <w:t>.</w:t>
      </w:r>
      <w:r w:rsidR="00F5645E" w:rsidRPr="00F5645E">
        <w:rPr>
          <w:rFonts w:ascii="Times New Roman" w:hAnsi="Times New Roman" w:cs="Times New Roman"/>
          <w:spacing w:val="-6"/>
          <w:sz w:val="32"/>
          <w:szCs w:val="32"/>
          <w:lang w:val="sr-Latn-RS"/>
        </w:rPr>
        <w:t>....</w:t>
      </w:r>
      <w:r w:rsidR="00F5645E">
        <w:rPr>
          <w:rFonts w:ascii="Times New Roman" w:hAnsi="Times New Roman" w:cs="Times New Roman"/>
          <w:spacing w:val="-6"/>
          <w:sz w:val="32"/>
          <w:szCs w:val="32"/>
          <w:lang w:val="sr-Cyrl-ME"/>
        </w:rPr>
        <w:t>........</w:t>
      </w:r>
      <w:r w:rsidR="00F5645E" w:rsidRPr="00F5645E">
        <w:rPr>
          <w:rFonts w:ascii="Times New Roman" w:hAnsi="Times New Roman" w:cs="Times New Roman"/>
          <w:spacing w:val="-6"/>
          <w:sz w:val="32"/>
          <w:szCs w:val="32"/>
          <w:lang w:val="sr-Latn-RS"/>
        </w:rPr>
        <w:t>.</w:t>
      </w:r>
      <w:r w:rsidR="00DE2E30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9</w:t>
      </w:r>
    </w:p>
    <w:p w14:paraId="611177F4" w14:textId="3429E10C" w:rsidR="00F5645E" w:rsidRPr="00F5645E" w:rsidRDefault="00F5645E" w:rsidP="00F5645E">
      <w:pPr>
        <w:shd w:val="clear" w:color="auto" w:fill="FCFCFC"/>
        <w:spacing w:before="100" w:beforeAutospacing="1" w:after="100" w:afterAutospacing="1" w:line="360" w:lineRule="atLeast"/>
        <w:ind w:left="810" w:hanging="270"/>
        <w:rPr>
          <w:rFonts w:ascii="Times New Roman" w:hAnsi="Times New Roman" w:cs="Times New Roman"/>
        </w:rPr>
      </w:pPr>
    </w:p>
    <w:p w14:paraId="61850BBE" w14:textId="7F97ED47" w:rsidR="00F5645E" w:rsidRPr="00F5645E" w:rsidRDefault="00F5645E" w:rsidP="00F5645E">
      <w:pPr>
        <w:pStyle w:val="ListParagraph"/>
        <w:numPr>
          <w:ilvl w:val="2"/>
          <w:numId w:val="5"/>
        </w:numPr>
        <w:shd w:val="clear" w:color="auto" w:fill="FCFCFC"/>
        <w:spacing w:line="360" w:lineRule="atLeast"/>
        <w:ind w:left="810" w:right="-18" w:hanging="270"/>
        <w:jc w:val="both"/>
        <w:rPr>
          <w:rFonts w:ascii="Times New Roman" w:hAnsi="Times New Roman" w:cs="Times New Roman"/>
        </w:rPr>
      </w:pPr>
      <w:r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Издавачка д‌јелатност</w:t>
      </w:r>
      <w:r w:rsidRPr="00F5645E">
        <w:rPr>
          <w:rFonts w:ascii="Times New Roman" w:hAnsi="Times New Roman" w:cs="Times New Roman"/>
          <w:spacing w:val="-6"/>
          <w:sz w:val="32"/>
          <w:szCs w:val="32"/>
          <w:lang w:val="sr-Latn-RS"/>
        </w:rPr>
        <w:t>...........................................................</w:t>
      </w:r>
      <w:r>
        <w:rPr>
          <w:rFonts w:ascii="Times New Roman" w:hAnsi="Times New Roman" w:cs="Times New Roman"/>
          <w:spacing w:val="-6"/>
          <w:sz w:val="32"/>
          <w:szCs w:val="32"/>
          <w:lang w:val="sr-Cyrl-ME"/>
        </w:rPr>
        <w:t>...........</w:t>
      </w:r>
      <w:r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1</w:t>
      </w:r>
      <w:r w:rsidR="00DE2E30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1</w:t>
      </w:r>
    </w:p>
    <w:p w14:paraId="4820577B" w14:textId="516E05A2" w:rsidR="00F5645E" w:rsidRDefault="00F5645E" w:rsidP="00F5645E">
      <w:pPr>
        <w:pStyle w:val="ListParagraph"/>
        <w:shd w:val="clear" w:color="auto" w:fill="FCFCFC"/>
        <w:spacing w:line="360" w:lineRule="atLeast"/>
        <w:ind w:left="810" w:hanging="270"/>
        <w:rPr>
          <w:rFonts w:ascii="Times New Roman" w:hAnsi="Times New Roman" w:cs="Times New Roman"/>
        </w:rPr>
      </w:pPr>
    </w:p>
    <w:p w14:paraId="04DB033A" w14:textId="77777777" w:rsidR="00F5645E" w:rsidRPr="00F5645E" w:rsidRDefault="00F5645E" w:rsidP="00F5645E">
      <w:pPr>
        <w:pStyle w:val="ListParagraph"/>
        <w:shd w:val="clear" w:color="auto" w:fill="FCFCFC"/>
        <w:spacing w:line="360" w:lineRule="atLeast"/>
        <w:ind w:left="810" w:hanging="270"/>
        <w:rPr>
          <w:rFonts w:ascii="Times New Roman" w:hAnsi="Times New Roman" w:cs="Times New Roman"/>
        </w:rPr>
      </w:pPr>
    </w:p>
    <w:p w14:paraId="1BC8F343" w14:textId="0DC0E448" w:rsidR="00F5645E" w:rsidRPr="00F5645E" w:rsidRDefault="00F5645E" w:rsidP="00F5645E">
      <w:pPr>
        <w:pStyle w:val="ListParagraph"/>
        <w:numPr>
          <w:ilvl w:val="2"/>
          <w:numId w:val="5"/>
        </w:numPr>
        <w:shd w:val="clear" w:color="auto" w:fill="FCFCFC"/>
        <w:spacing w:line="360" w:lineRule="atLeast"/>
        <w:ind w:left="810" w:right="-18" w:hanging="270"/>
        <w:jc w:val="both"/>
        <w:rPr>
          <w:rFonts w:ascii="Times New Roman" w:hAnsi="Times New Roman" w:cs="Times New Roman"/>
        </w:rPr>
      </w:pPr>
      <w:r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 xml:space="preserve">Планирана буџетска средства са </w:t>
      </w:r>
      <w:proofErr w:type="spellStart"/>
      <w:r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квалификационом</w:t>
      </w:r>
      <w:proofErr w:type="spellEnd"/>
      <w:r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 xml:space="preserve"> структуром запослених</w:t>
      </w:r>
      <w:r w:rsidRPr="00F5645E">
        <w:rPr>
          <w:rFonts w:ascii="Times New Roman" w:hAnsi="Times New Roman" w:cs="Times New Roman"/>
          <w:spacing w:val="-6"/>
          <w:sz w:val="32"/>
          <w:szCs w:val="32"/>
          <w:lang w:val="sr-Latn-RS"/>
        </w:rPr>
        <w:t>.......................................................</w:t>
      </w:r>
      <w:r w:rsidR="009A7440">
        <w:rPr>
          <w:rFonts w:ascii="Times New Roman" w:hAnsi="Times New Roman" w:cs="Times New Roman"/>
          <w:spacing w:val="-6"/>
          <w:sz w:val="32"/>
          <w:szCs w:val="32"/>
          <w:lang w:val="sr-Cyrl-ME"/>
        </w:rPr>
        <w:t>.........</w:t>
      </w:r>
      <w:r>
        <w:rPr>
          <w:rFonts w:ascii="Times New Roman" w:hAnsi="Times New Roman" w:cs="Times New Roman"/>
          <w:spacing w:val="-6"/>
          <w:sz w:val="32"/>
          <w:szCs w:val="32"/>
          <w:lang w:val="sr-Cyrl-ME"/>
        </w:rPr>
        <w:t>.</w:t>
      </w:r>
      <w:r w:rsidRPr="00F5645E">
        <w:rPr>
          <w:rFonts w:ascii="Times New Roman" w:hAnsi="Times New Roman" w:cs="Times New Roman"/>
          <w:spacing w:val="-6"/>
          <w:sz w:val="32"/>
          <w:szCs w:val="32"/>
          <w:lang w:val="sr-Latn-RS"/>
        </w:rPr>
        <w:t>.</w:t>
      </w:r>
      <w:r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1</w:t>
      </w:r>
      <w:r w:rsidR="00C35572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4</w:t>
      </w:r>
    </w:p>
    <w:p w14:paraId="07290232" w14:textId="611786B5" w:rsidR="00F5645E" w:rsidRDefault="00F5645E" w:rsidP="00F5645E">
      <w:pPr>
        <w:pStyle w:val="ListParagraph"/>
        <w:shd w:val="clear" w:color="auto" w:fill="FCFCFC"/>
        <w:spacing w:line="360" w:lineRule="atLeast"/>
        <w:ind w:left="810" w:hanging="270"/>
        <w:rPr>
          <w:rFonts w:ascii="Times New Roman" w:hAnsi="Times New Roman" w:cs="Times New Roman"/>
        </w:rPr>
      </w:pPr>
    </w:p>
    <w:p w14:paraId="5E97C843" w14:textId="77777777" w:rsidR="00F5645E" w:rsidRPr="00F5645E" w:rsidRDefault="00F5645E" w:rsidP="00F5645E">
      <w:pPr>
        <w:pStyle w:val="ListParagraph"/>
        <w:shd w:val="clear" w:color="auto" w:fill="FCFCFC"/>
        <w:spacing w:line="360" w:lineRule="atLeast"/>
        <w:ind w:left="810" w:hanging="270"/>
        <w:rPr>
          <w:rFonts w:ascii="Times New Roman" w:hAnsi="Times New Roman" w:cs="Times New Roman"/>
        </w:rPr>
      </w:pPr>
    </w:p>
    <w:p w14:paraId="4B45FC20" w14:textId="722FC966" w:rsidR="00F5645E" w:rsidRPr="00F5645E" w:rsidRDefault="00F5645E" w:rsidP="00F5645E">
      <w:pPr>
        <w:pStyle w:val="ListParagraph"/>
        <w:numPr>
          <w:ilvl w:val="2"/>
          <w:numId w:val="5"/>
        </w:numPr>
        <w:shd w:val="clear" w:color="auto" w:fill="FCFCFC"/>
        <w:spacing w:line="360" w:lineRule="atLeast"/>
        <w:ind w:left="810" w:right="-18" w:hanging="270"/>
        <w:jc w:val="both"/>
        <w:rPr>
          <w:rFonts w:ascii="Times New Roman" w:hAnsi="Times New Roman" w:cs="Times New Roman"/>
        </w:rPr>
      </w:pPr>
      <w:r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Финансијски план за 202</w:t>
      </w:r>
      <w:r w:rsidR="00DE2E30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4</w:t>
      </w:r>
      <w:r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. годину</w:t>
      </w:r>
      <w:r w:rsidRPr="00F5645E">
        <w:rPr>
          <w:rFonts w:ascii="Times New Roman" w:hAnsi="Times New Roman" w:cs="Times New Roman"/>
          <w:spacing w:val="-6"/>
          <w:sz w:val="32"/>
          <w:szCs w:val="32"/>
          <w:lang w:val="sr-Latn-RS"/>
        </w:rPr>
        <w:t>.....................................</w:t>
      </w:r>
      <w:r w:rsidR="009A7440">
        <w:rPr>
          <w:rFonts w:ascii="Times New Roman" w:hAnsi="Times New Roman" w:cs="Times New Roman"/>
          <w:spacing w:val="-6"/>
          <w:sz w:val="32"/>
          <w:szCs w:val="32"/>
          <w:lang w:val="sr-Cyrl-ME"/>
        </w:rPr>
        <w:t>.........</w:t>
      </w:r>
      <w:r w:rsidRPr="00F5645E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1</w:t>
      </w:r>
      <w:r w:rsidR="00C35572">
        <w:rPr>
          <w:rFonts w:ascii="Times New Roman" w:hAnsi="Times New Roman" w:cs="Times New Roman"/>
          <w:b/>
          <w:bCs/>
          <w:spacing w:val="-6"/>
          <w:sz w:val="32"/>
          <w:szCs w:val="32"/>
          <w:lang w:val="sr-Latn-RS"/>
        </w:rPr>
        <w:t>5</w:t>
      </w:r>
    </w:p>
    <w:p w14:paraId="56E627CC" w14:textId="7FEA8B80" w:rsidR="00F5645E" w:rsidRDefault="00F5645E" w:rsidP="00F5645E">
      <w:pPr>
        <w:pStyle w:val="ListParagraph"/>
        <w:shd w:val="clear" w:color="auto" w:fill="FCFCFC"/>
        <w:spacing w:line="360" w:lineRule="atLeast"/>
        <w:ind w:left="810" w:hanging="270"/>
        <w:rPr>
          <w:rFonts w:ascii="Times New Roman" w:hAnsi="Times New Roman" w:cs="Times New Roman"/>
        </w:rPr>
      </w:pPr>
    </w:p>
    <w:p w14:paraId="63F6B38B" w14:textId="77777777" w:rsidR="00F5645E" w:rsidRPr="00F5645E" w:rsidRDefault="00F5645E" w:rsidP="00F5645E">
      <w:pPr>
        <w:pStyle w:val="ListParagraph"/>
        <w:shd w:val="clear" w:color="auto" w:fill="FCFCFC"/>
        <w:spacing w:line="360" w:lineRule="atLeast"/>
        <w:ind w:left="810" w:hanging="270"/>
        <w:rPr>
          <w:rFonts w:ascii="Times New Roman" w:hAnsi="Times New Roman" w:cs="Times New Roman"/>
        </w:rPr>
      </w:pPr>
    </w:p>
    <w:p w14:paraId="6C574DD7" w14:textId="0DD0CF4A" w:rsidR="00C35572" w:rsidRPr="00866C2A" w:rsidRDefault="00F5645E" w:rsidP="00C35572">
      <w:pPr>
        <w:pStyle w:val="ListParagraph"/>
        <w:numPr>
          <w:ilvl w:val="2"/>
          <w:numId w:val="5"/>
        </w:numPr>
        <w:shd w:val="clear" w:color="auto" w:fill="FCFCFC"/>
        <w:spacing w:line="360" w:lineRule="atLeast"/>
        <w:ind w:left="810" w:right="-18" w:hanging="270"/>
        <w:jc w:val="both"/>
        <w:rPr>
          <w:rFonts w:ascii="Times New Roman" w:hAnsi="Times New Roman" w:cs="Times New Roman"/>
        </w:rPr>
      </w:pPr>
      <w:r w:rsidRPr="00F5645E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Закључак</w:t>
      </w:r>
      <w:r w:rsidRPr="00F5645E">
        <w:rPr>
          <w:rFonts w:ascii="Times New Roman" w:hAnsi="Times New Roman" w:cs="Times New Roman"/>
          <w:sz w:val="32"/>
          <w:szCs w:val="32"/>
          <w:lang w:val="sr-Latn-RS"/>
        </w:rPr>
        <w:t>........................................................................</w:t>
      </w:r>
      <w:r>
        <w:rPr>
          <w:rFonts w:ascii="Times New Roman" w:hAnsi="Times New Roman" w:cs="Times New Roman"/>
          <w:sz w:val="32"/>
          <w:szCs w:val="32"/>
          <w:lang w:val="sr-Cyrl-ME"/>
        </w:rPr>
        <w:t>............</w:t>
      </w:r>
      <w:r w:rsidRPr="00F5645E">
        <w:rPr>
          <w:rFonts w:ascii="Times New Roman" w:hAnsi="Times New Roman" w:cs="Times New Roman"/>
          <w:sz w:val="32"/>
          <w:szCs w:val="32"/>
          <w:lang w:val="sr-Latn-RS"/>
        </w:rPr>
        <w:t>.</w:t>
      </w:r>
      <w:r w:rsidRPr="00F5645E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1</w:t>
      </w:r>
      <w:r w:rsidR="00C3557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6</w:t>
      </w:r>
    </w:p>
    <w:p w14:paraId="1EAD1351" w14:textId="77777777" w:rsidR="00866C2A" w:rsidRPr="00866C2A" w:rsidRDefault="00866C2A" w:rsidP="00866C2A">
      <w:pPr>
        <w:shd w:val="clear" w:color="auto" w:fill="FCFCFC"/>
        <w:spacing w:line="360" w:lineRule="atLeast"/>
        <w:ind w:right="-18"/>
        <w:jc w:val="both"/>
        <w:rPr>
          <w:rFonts w:ascii="Times New Roman" w:hAnsi="Times New Roman" w:cs="Times New Roman"/>
        </w:rPr>
      </w:pPr>
    </w:p>
    <w:p w14:paraId="2C63E26A" w14:textId="2DB9407B" w:rsidR="00F5645E" w:rsidRDefault="00F5645E" w:rsidP="00F5645E">
      <w:pPr>
        <w:shd w:val="clear" w:color="auto" w:fill="FCFCFC"/>
        <w:spacing w:before="100" w:beforeAutospacing="1" w:after="100" w:afterAutospacing="1" w:line="360" w:lineRule="atLeast"/>
        <w:ind w:left="540" w:hanging="540"/>
        <w:jc w:val="both"/>
        <w:rPr>
          <w:rFonts w:ascii="Times New Roman" w:hAnsi="Times New Roman" w:cs="Times New Roman"/>
        </w:rPr>
      </w:pPr>
    </w:p>
    <w:p w14:paraId="36EB7BDC" w14:textId="77777777" w:rsidR="00676F7E" w:rsidRPr="00F5645E" w:rsidRDefault="00676F7E" w:rsidP="00F5645E">
      <w:pPr>
        <w:shd w:val="clear" w:color="auto" w:fill="FCFCFC"/>
        <w:spacing w:before="100" w:beforeAutospacing="1" w:after="100" w:afterAutospacing="1" w:line="360" w:lineRule="atLeast"/>
        <w:ind w:left="540" w:hanging="540"/>
        <w:jc w:val="both"/>
        <w:rPr>
          <w:rFonts w:ascii="Times New Roman" w:hAnsi="Times New Roman" w:cs="Times New Roman"/>
        </w:rPr>
      </w:pPr>
    </w:p>
    <w:p w14:paraId="61CEE69D" w14:textId="288FB3E6" w:rsidR="00F5645E" w:rsidRPr="00F5645E" w:rsidRDefault="00F5645E" w:rsidP="00F5645E">
      <w:pPr>
        <w:shd w:val="clear" w:color="auto" w:fill="FCFCFC"/>
        <w:spacing w:before="100" w:beforeAutospacing="1" w:after="100" w:afterAutospacing="1" w:line="450" w:lineRule="atLeast"/>
        <w:ind w:firstLine="720"/>
        <w:jc w:val="both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sz w:val="28"/>
          <w:szCs w:val="28"/>
          <w:lang w:val="sr-Latn-RS"/>
        </w:rPr>
        <w:t>На основу члана 26 Закона о позоришној д‌јелатности („Службени лист РЦГ“, број 60/01 и „Службени лист ЦГ“, бр. 75/10 и 40/11) и члана </w:t>
      </w:r>
      <w:r w:rsidRPr="00F5645E">
        <w:rPr>
          <w:rFonts w:ascii="Times New Roman" w:eastAsia="Times New Roman" w:hAnsi="Times New Roman" w:cs="Times New Roman"/>
          <w:sz w:val="28"/>
          <w:szCs w:val="28"/>
          <w:lang w:val="sr-Cyrl-RS"/>
        </w:rPr>
        <w:t>28 </w:t>
      </w:r>
      <w:r w:rsidRPr="00F5645E">
        <w:rPr>
          <w:rFonts w:ascii="Times New Roman" w:eastAsia="Times New Roman" w:hAnsi="Times New Roman" w:cs="Times New Roman"/>
          <w:sz w:val="28"/>
          <w:szCs w:val="28"/>
          <w:lang w:val="sr-Latn-ME"/>
        </w:rPr>
        <w:t>став 1 тачка 6 </w:t>
      </w:r>
      <w:r w:rsidRPr="00F5645E">
        <w:rPr>
          <w:rFonts w:ascii="Times New Roman" w:eastAsia="Times New Roman" w:hAnsi="Times New Roman" w:cs="Times New Roman"/>
          <w:sz w:val="28"/>
          <w:szCs w:val="28"/>
          <w:lang w:val="sr-Latn-RS"/>
        </w:rPr>
        <w:t>Статута Јавне установе Никшићко позориште, Рјешења о давању сагласности, бр</w:t>
      </w:r>
      <w:r w:rsidRPr="00F5645E">
        <w:rPr>
          <w:rFonts w:ascii="Times New Roman" w:eastAsia="Times New Roman" w:hAnsi="Times New Roman" w:cs="Times New Roman"/>
          <w:sz w:val="28"/>
          <w:szCs w:val="28"/>
          <w:lang w:val="sr-Cyrl-RS"/>
        </w:rPr>
        <w:t>ој</w:t>
      </w:r>
      <w:r w:rsidRPr="00F5645E">
        <w:rPr>
          <w:rFonts w:ascii="Times New Roman" w:eastAsia="Times New Roman" w:hAnsi="Times New Roman" w:cs="Times New Roman"/>
          <w:sz w:val="28"/>
          <w:szCs w:val="28"/>
          <w:lang w:val="sr-Latn-RS"/>
        </w:rPr>
        <w:t> 01-030-364 од 11.</w:t>
      </w:r>
      <w:r w:rsidRPr="001E36AF">
        <w:rPr>
          <w:rFonts w:ascii="Times New Roman" w:eastAsia="Times New Roman" w:hAnsi="Times New Roman" w:cs="Times New Roman"/>
          <w:sz w:val="28"/>
          <w:szCs w:val="28"/>
          <w:lang w:val="sr-Cyrl-ME"/>
        </w:rPr>
        <w:t xml:space="preserve"> </w:t>
      </w:r>
      <w:r w:rsidRPr="00F5645E">
        <w:rPr>
          <w:rFonts w:ascii="Times New Roman" w:eastAsia="Times New Roman" w:hAnsi="Times New Roman" w:cs="Times New Roman"/>
          <w:sz w:val="28"/>
          <w:szCs w:val="28"/>
          <w:lang w:val="sr-Latn-RS"/>
        </w:rPr>
        <w:t>11.</w:t>
      </w:r>
      <w:r w:rsidRPr="001E36AF">
        <w:rPr>
          <w:rFonts w:ascii="Times New Roman" w:eastAsia="Times New Roman" w:hAnsi="Times New Roman" w:cs="Times New Roman"/>
          <w:sz w:val="28"/>
          <w:szCs w:val="28"/>
          <w:lang w:val="sr-Cyrl-ME"/>
        </w:rPr>
        <w:t xml:space="preserve"> </w:t>
      </w:r>
      <w:r w:rsidRPr="00F5645E">
        <w:rPr>
          <w:rFonts w:ascii="Times New Roman" w:eastAsia="Times New Roman" w:hAnsi="Times New Roman" w:cs="Times New Roman"/>
          <w:sz w:val="28"/>
          <w:szCs w:val="28"/>
          <w:lang w:val="sr-Latn-RS"/>
        </w:rPr>
        <w:t>2022. год</w:t>
      </w:r>
      <w:r w:rsidRPr="00F5645E">
        <w:rPr>
          <w:rFonts w:ascii="Times New Roman" w:eastAsia="Times New Roman" w:hAnsi="Times New Roman" w:cs="Times New Roman"/>
          <w:sz w:val="28"/>
          <w:szCs w:val="28"/>
          <w:lang w:val="sr-Cyrl-RS"/>
        </w:rPr>
        <w:t>ине</w:t>
      </w:r>
      <w:r w:rsidRPr="00F5645E">
        <w:rPr>
          <w:rFonts w:ascii="Times New Roman" w:eastAsia="Times New Roman" w:hAnsi="Times New Roman" w:cs="Times New Roman"/>
          <w:sz w:val="28"/>
          <w:szCs w:val="28"/>
          <w:lang w:val="sr-Latn-RS"/>
        </w:rPr>
        <w:t>, директор Јавне установе Никшићко позориште је </w:t>
      </w:r>
      <w:r w:rsidRPr="00F5645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0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645E">
        <w:rPr>
          <w:rFonts w:ascii="Times New Roman" w:eastAsia="Times New Roman" w:hAnsi="Times New Roman" w:cs="Times New Roman"/>
          <w:sz w:val="28"/>
          <w:szCs w:val="28"/>
        </w:rPr>
        <w:t>. 12. </w:t>
      </w:r>
      <w:r w:rsidRPr="00F5645E">
        <w:rPr>
          <w:rFonts w:ascii="Times New Roman" w:eastAsia="Times New Roman" w:hAnsi="Times New Roman" w:cs="Times New Roman"/>
          <w:sz w:val="28"/>
          <w:szCs w:val="28"/>
          <w:lang w:val="sr-Latn-RS"/>
        </w:rPr>
        <w:t>202</w:t>
      </w:r>
      <w:r w:rsidR="001E36AF">
        <w:rPr>
          <w:rFonts w:ascii="Times New Roman" w:eastAsia="Times New Roman" w:hAnsi="Times New Roman" w:cs="Times New Roman"/>
          <w:sz w:val="28"/>
          <w:szCs w:val="28"/>
          <w:lang w:val="sr-Cyrl-ME"/>
        </w:rPr>
        <w:t>3</w:t>
      </w:r>
      <w:r w:rsidRPr="00F5645E">
        <w:rPr>
          <w:rFonts w:ascii="Times New Roman" w:eastAsia="Times New Roman" w:hAnsi="Times New Roman" w:cs="Times New Roman"/>
          <w:sz w:val="28"/>
          <w:szCs w:val="28"/>
          <w:lang w:val="sr-Latn-RS"/>
        </w:rPr>
        <w:t>. године,  п р е д л о ж и о</w:t>
      </w:r>
    </w:p>
    <w:p w14:paraId="5971F58B" w14:textId="77777777" w:rsidR="00F5645E" w:rsidRPr="00F5645E" w:rsidRDefault="00F5645E" w:rsidP="00F5645E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sz w:val="24"/>
          <w:szCs w:val="24"/>
          <w:lang w:val="sr-Latn-RS"/>
        </w:rPr>
        <w:t> </w:t>
      </w:r>
    </w:p>
    <w:p w14:paraId="1D3F4B05" w14:textId="207FBA22" w:rsidR="00F5645E" w:rsidRPr="00F5645E" w:rsidRDefault="00F5645E" w:rsidP="00F5645E">
      <w:pPr>
        <w:shd w:val="clear" w:color="auto" w:fill="FCFCFC"/>
        <w:spacing w:before="100" w:beforeAutospacing="1" w:after="100" w:afterAutospacing="1" w:line="360" w:lineRule="atLeast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  </w:t>
      </w:r>
    </w:p>
    <w:p w14:paraId="175F536B" w14:textId="7351B453" w:rsidR="00F5645E" w:rsidRPr="00F5645E" w:rsidRDefault="00F5645E" w:rsidP="00DE2E30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ПРОГРАМ РАДА</w:t>
      </w:r>
    </w:p>
    <w:p w14:paraId="3F0FDD0E" w14:textId="77777777" w:rsidR="00F5645E" w:rsidRPr="00F5645E" w:rsidRDefault="00F5645E" w:rsidP="00F5645E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ЈАВНЕ УСТАНОВЕ НИКШИЋКО ПОЗОРИШТЕ</w:t>
      </w:r>
    </w:p>
    <w:p w14:paraId="5EA029DE" w14:textId="5B337FEA" w:rsidR="00F5645E" w:rsidRPr="00F5645E" w:rsidRDefault="00F5645E" w:rsidP="00F5645E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ЗА 202</w:t>
      </w:r>
      <w:r w:rsidRPr="001E36AF">
        <w:rPr>
          <w:rFonts w:ascii="Times New Roman" w:eastAsia="Times New Roman" w:hAnsi="Times New Roman" w:cs="Times New Roman"/>
          <w:b/>
          <w:bCs/>
          <w:sz w:val="32"/>
          <w:szCs w:val="32"/>
          <w:lang w:val="sr-Cyrl-ME"/>
        </w:rPr>
        <w:t>4</w:t>
      </w:r>
      <w:r w:rsidRPr="00F5645E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. ГОДИНУ</w:t>
      </w:r>
    </w:p>
    <w:p w14:paraId="417303F0" w14:textId="77777777" w:rsidR="00F5645E" w:rsidRPr="00F5645E" w:rsidRDefault="00F5645E" w:rsidP="00F5645E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 </w:t>
      </w:r>
    </w:p>
    <w:p w14:paraId="746AE34E" w14:textId="0F0F091A" w:rsidR="00F5645E" w:rsidRDefault="00F5645E" w:rsidP="00F5645E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</w:pPr>
      <w:r w:rsidRPr="00F5645E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 </w:t>
      </w:r>
    </w:p>
    <w:p w14:paraId="4EDCD9F3" w14:textId="77777777" w:rsidR="00070415" w:rsidRPr="00F5645E" w:rsidRDefault="00070415" w:rsidP="00F5645E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eastAsia="Times New Roman" w:hAnsi="Segoe UI" w:cs="Segoe UI"/>
          <w:sz w:val="24"/>
          <w:szCs w:val="24"/>
        </w:rPr>
      </w:pPr>
    </w:p>
    <w:p w14:paraId="439F0E5D" w14:textId="77777777" w:rsidR="00F5645E" w:rsidRPr="00F5645E" w:rsidRDefault="00F5645E" w:rsidP="00F5645E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 </w:t>
      </w:r>
    </w:p>
    <w:p w14:paraId="47F6D655" w14:textId="77777777" w:rsidR="00F5645E" w:rsidRPr="00F5645E" w:rsidRDefault="00F5645E" w:rsidP="00F5645E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Увод</w:t>
      </w:r>
    </w:p>
    <w:p w14:paraId="63895ED5" w14:textId="77777777" w:rsidR="00F5645E" w:rsidRPr="00F5645E" w:rsidRDefault="00F5645E" w:rsidP="00F5645E">
      <w:pPr>
        <w:shd w:val="clear" w:color="auto" w:fill="FCFCFC"/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49DC095" w14:textId="10AF0E89" w:rsidR="00F5645E" w:rsidRPr="00F5645E" w:rsidRDefault="00F5645E" w:rsidP="001E36AF">
      <w:pPr>
        <w:shd w:val="clear" w:color="auto" w:fill="FCFCFC"/>
        <w:spacing w:before="100" w:beforeAutospacing="1" w:after="0" w:line="360" w:lineRule="auto"/>
        <w:ind w:firstLine="708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Никшићко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позориште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свој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рада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E36AF" w:rsidRPr="001E36AF">
        <w:rPr>
          <w:rFonts w:ascii="Times New Roman" w:eastAsia="Times New Roman" w:hAnsi="Times New Roman" w:cs="Times New Roman"/>
          <w:sz w:val="28"/>
          <w:szCs w:val="28"/>
          <w:lang w:val="sr-Cyrl-ME"/>
        </w:rPr>
        <w:t>4</w:t>
      </w:r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5645E">
        <w:rPr>
          <w:rFonts w:ascii="Times New Roman" w:eastAsia="Times New Roman" w:hAnsi="Times New Roman" w:cs="Times New Roman"/>
          <w:sz w:val="28"/>
          <w:szCs w:val="28"/>
        </w:rPr>
        <w:t>годину</w:t>
      </w:r>
      <w:proofErr w:type="spellEnd"/>
      <w:proofErr w:type="gram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складу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препознатим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потребама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заједнице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складу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могућностима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финансирања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F1EE91" w14:textId="77777777" w:rsidR="00F5645E" w:rsidRPr="00F5645E" w:rsidRDefault="00F5645E" w:rsidP="00F5645E">
      <w:pPr>
        <w:shd w:val="clear" w:color="auto" w:fill="FCFCFC"/>
        <w:spacing w:before="100" w:beforeAutospacing="1" w:after="0" w:line="450" w:lineRule="atLeast"/>
        <w:ind w:firstLine="708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рада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наредну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пословну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годину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планиран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својом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концепцијом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значајано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допринесе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даљем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институционалном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јачању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установа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lastRenderedPageBreak/>
        <w:t>културе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локалног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нивоа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њиховој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успјешнијој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међусобној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сарадњи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али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сарадњи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истим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сродним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институцијама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Црној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Гори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региону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5A13BB" w14:textId="6F672400" w:rsidR="00F5645E" w:rsidRPr="00F5645E" w:rsidRDefault="00F5645E" w:rsidP="00F5645E">
      <w:pPr>
        <w:shd w:val="clear" w:color="auto" w:fill="FCFCFC"/>
        <w:spacing w:before="100" w:beforeAutospacing="1" w:after="0" w:line="450" w:lineRule="atLeast"/>
        <w:jc w:val="both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Програмске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одвијаће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кроз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редовне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мјесечне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репертоаре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четири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продукције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позоришне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филмске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музичке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издавачке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пословном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политиком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Позориште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ће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одговорити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све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израженије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захтјеве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публике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различитим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садржајима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културе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прије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свега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драмске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умјетности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Истовремено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тако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осмишљеном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програмском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концепцијом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Позориште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ће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наставити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континуитет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претходних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година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када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годишњем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нивоу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просјеку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реализовало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130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B92">
        <w:rPr>
          <w:rFonts w:ascii="Times New Roman" w:eastAsia="Times New Roman" w:hAnsi="Times New Roman" w:cs="Times New Roman"/>
          <w:sz w:val="28"/>
          <w:szCs w:val="28"/>
          <w:lang w:val="sr-Cyrl-ME"/>
        </w:rPr>
        <w:t>150</w:t>
      </w:r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садржаја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креирати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културни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идентитет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града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допринијети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актуелном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културолошком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идентитету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Црне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Горе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B3CBB7" w14:textId="77777777" w:rsidR="00F5645E" w:rsidRPr="00F5645E" w:rsidRDefault="00F5645E" w:rsidP="00F5645E">
      <w:pPr>
        <w:shd w:val="clear" w:color="auto" w:fill="FCFCFC"/>
        <w:spacing w:before="100" w:beforeAutospacing="1" w:after="0" w:line="450" w:lineRule="atLeast"/>
        <w:jc w:val="both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раду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биће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инсценација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драмских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д‌јела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вечерњој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д‌јечијој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сцени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које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ће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освјежити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продукцију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Никшићког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позоришта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значајно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допринијети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унапређењу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позоришне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умјетности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граду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али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институционалном</w:t>
      </w:r>
      <w:proofErr w:type="spellEnd"/>
      <w:proofErr w:type="gramStart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јачању</w:t>
      </w:r>
      <w:proofErr w:type="spellEnd"/>
      <w:proofErr w:type="gram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установе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њеној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пројектованој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трансформацији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продуцентског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театар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градског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типа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статусом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редовног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репертоарског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позоришта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B2312" w14:textId="7305FE20" w:rsidR="00F5645E" w:rsidRPr="00F5645E" w:rsidRDefault="00F5645E" w:rsidP="00F5645E">
      <w:pPr>
        <w:shd w:val="clear" w:color="auto" w:fill="FCFCFC"/>
        <w:spacing w:before="100" w:beforeAutospacing="1" w:after="0" w:line="450" w:lineRule="atLeast"/>
        <w:ind w:firstLine="708"/>
        <w:jc w:val="both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sz w:val="28"/>
          <w:szCs w:val="28"/>
        </w:rPr>
        <w:t>„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Међународни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фестивал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глумца</w:t>
      </w:r>
      <w:proofErr w:type="spellEnd"/>
      <w:proofErr w:type="gramStart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proofErr w:type="gram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значајан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сегмент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продукције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позоришне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оријентације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Никшићког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позоришта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будући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ријеч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јединственој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јасно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профилисаној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позоришној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смотри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само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Црној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Гори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већ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земљама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региона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којима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након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досадашњих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успјешних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6AF" w:rsidRPr="001E36AF">
        <w:rPr>
          <w:rFonts w:ascii="Times New Roman" w:eastAsia="Times New Roman" w:hAnsi="Times New Roman" w:cs="Times New Roman"/>
          <w:sz w:val="28"/>
          <w:szCs w:val="28"/>
          <w:lang w:val="sr-Cyrl-ME"/>
        </w:rPr>
        <w:t>деветнаест</w:t>
      </w:r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издања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ужива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завидну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репутацију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9D191E" w14:textId="77777777" w:rsidR="00F5645E" w:rsidRPr="00F5645E" w:rsidRDefault="00F5645E" w:rsidP="00F5645E">
      <w:pPr>
        <w:shd w:val="clear" w:color="auto" w:fill="FCFCFC"/>
        <w:spacing w:before="100" w:beforeAutospacing="1" w:after="0" w:line="450" w:lineRule="atLeast"/>
        <w:jc w:val="both"/>
        <w:rPr>
          <w:rFonts w:ascii="Segoe UI" w:eastAsia="Times New Roman" w:hAnsi="Segoe UI" w:cs="Segoe UI"/>
          <w:sz w:val="24"/>
          <w:szCs w:val="24"/>
        </w:rPr>
      </w:pPr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Пројектима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издавачке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д‌јелатности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тежићемо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допринесемо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подизању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свијести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значају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драмске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умјетности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друштву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приближавању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позоришне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продукције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публици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била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ранија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пракса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због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чега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lastRenderedPageBreak/>
        <w:t>Никшићко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позориште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било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равни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националним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театрима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Подгорици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Цетињу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D97AD9" w14:textId="77777777" w:rsidR="00F5645E" w:rsidRPr="00F5645E" w:rsidRDefault="00F5645E" w:rsidP="00F5645E">
      <w:pPr>
        <w:shd w:val="clear" w:color="auto" w:fill="FCFCFC"/>
        <w:spacing w:before="100" w:beforeAutospacing="1" w:after="0" w:line="450" w:lineRule="atLeast"/>
        <w:ind w:firstLine="708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Позориште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ће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као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суорганизатор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омогућити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уприличити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реализацију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других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садржаја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сарадњи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позоришним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другим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субјектима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културе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Никшића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Црне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Горе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земаља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региона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укључујући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НВО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сектор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4AC6B3" w14:textId="61BF1869" w:rsidR="00F5645E" w:rsidRPr="001E36AF" w:rsidRDefault="00F5645E" w:rsidP="00F5645E">
      <w:pPr>
        <w:shd w:val="clear" w:color="auto" w:fill="FCFCFC"/>
        <w:spacing w:before="100" w:beforeAutospacing="1"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рада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конципиран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циљем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оствари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јавни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интерес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града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што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ослања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Start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чињеницу</w:t>
      </w:r>
      <w:proofErr w:type="spellEnd"/>
      <w:proofErr w:type="gram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претходних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година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рад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Позоришта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пратило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око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40 000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гледалаца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годишње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Реализација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Програмом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предвиђених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планова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базирана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финансијској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подршци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Општине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Никшић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Министарства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културе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као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сопствених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45E">
        <w:rPr>
          <w:rFonts w:ascii="Times New Roman" w:eastAsia="Times New Roman" w:hAnsi="Times New Roman" w:cs="Times New Roman"/>
          <w:sz w:val="28"/>
          <w:szCs w:val="28"/>
        </w:rPr>
        <w:t>прихода</w:t>
      </w:r>
      <w:proofErr w:type="spellEnd"/>
      <w:r w:rsidRPr="00F56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185D44" w14:textId="3315E3D8" w:rsidR="00F5645E" w:rsidRDefault="00F5645E" w:rsidP="00F5645E">
      <w:pPr>
        <w:shd w:val="clear" w:color="auto" w:fill="FCFCFC"/>
        <w:spacing w:before="100" w:beforeAutospacing="1"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D291B5" w14:textId="77777777" w:rsidR="00070415" w:rsidRPr="001E36AF" w:rsidRDefault="00070415" w:rsidP="00F5645E">
      <w:pPr>
        <w:shd w:val="clear" w:color="auto" w:fill="FCFCFC"/>
        <w:spacing w:before="100" w:beforeAutospacing="1"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BC297" w14:textId="77777777" w:rsidR="003B7447" w:rsidRPr="003B7447" w:rsidRDefault="003B7447" w:rsidP="003B744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3B7447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План рада умјетничке продукције за 2024. годину</w:t>
      </w:r>
    </w:p>
    <w:p w14:paraId="54A4CE2E" w14:textId="4E2CCE74" w:rsidR="003B7447" w:rsidRDefault="003B7447" w:rsidP="003B74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4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7F92217" w14:textId="77777777" w:rsidR="00070415" w:rsidRPr="003B7447" w:rsidRDefault="00070415" w:rsidP="003B74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86A4CF" w14:textId="0D853C4E" w:rsidR="003B7447" w:rsidRPr="003B7447" w:rsidRDefault="003B7447" w:rsidP="003B7447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B7447">
        <w:rPr>
          <w:rFonts w:ascii="Times New Roman" w:hAnsi="Times New Roman" w:cs="Times New Roman"/>
          <w:sz w:val="28"/>
          <w:szCs w:val="28"/>
          <w:lang w:val="sr-Cyrl-RS"/>
        </w:rPr>
        <w:t xml:space="preserve">Никшићко позориште 2023. годину завршава више него успјешно. 19.Међународни фестивал глумца је по квалитету, посјећености и по медијској пропраћености оцијењен највећим оцјенама од стране стручне јавности, али и од публике. Непосредно након те велике глумачке смотре успјели смо да имамо премијеру и репризу нове представе из наше продукције „Плућа“. Након тога нам слиједе учешће на Фестивалу монодраме и мањих позоришних форми у Источном Сарајеву, као и друга гостовања наших представа по Црној Гори. Све наведено је несумњива потврда да су сви чланови нашег позоришта интезивно ангажовани и да смо </w:t>
      </w:r>
      <w:r w:rsidRPr="003B7447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по много чему надмашили очекивана достигнућа, односно да смо и ове године направили корак даље и на пољу квалитета и на пољу квантитета. Но, како то обично бива, успјех нас више обавезује него што нас чини задовољнима. Кроз поменуте активности Никшићко позориште се спрема и већ има јасан план за наставак позоришне сезоне у наредној години. А пред нама су два велика јубилеја која су од посебног значаја за Позориште, али и за град Никшић. Наиме, у фебруару 2024. навршава се 140 година од играња прве представе у нашем граду. У новембру ћемо имати двадесети Међународни фестивал глумца. Између та два догађаја слиједи нам низ предвиђених гостовања на сценама широм региона, употпуњавање сцене за дјецу, филмски, музички и фолклорни програми, издавачки подухвати, помоћ у организацији догађаја другим културним институцијама града, као и препознате манифестације попут „Дана Светог Василија“ и „Септембарских дана“. </w:t>
      </w:r>
    </w:p>
    <w:p w14:paraId="356D7AD5" w14:textId="77777777" w:rsidR="003B7447" w:rsidRPr="003B7447" w:rsidRDefault="003B7447" w:rsidP="003B7447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B7447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У част прославе Дана позоришта и обиљежавања тако дуге традиције позоришног живота у Никшићу наше позориште је, паралелно са захтјевним активностима и програмима, уложило додатне напоре да за 16. фебруар припреми нову представу као најбољи начин да покаже колико је утемељење у традицији изњедрило плодове у данашњим данима. Договорена је сарадња са еминентним београдским редитељем и рођеним Бјелопавлићем Божидаром Ђуровићем, као и са једним од највећих драмских писаца са наших простора Душаном Ковачевићем. План је јасан, да се за Дан позоришта као централни догађај припреми премијера представе по Ковачевићевом тексту и у режији Ђуровића. У склопу исте манифестације планирали смо свечану академију, књижевно вече нашег великог писца, као и играње наших већ афирмисаних представа. Посебно наглашавамо да ћемо у склопу тих дана планирати и </w:t>
      </w:r>
      <w:r w:rsidRPr="003B7447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достојно сјећање на недавно преминулог редитеља и драматурга, нашег суграђанина Горана Булајића. У склопу поменутих догађаја планирано је да позовемо и угостимо бројне значајне званице, позоришне дјелатнике, редитеље, глумце, књижевнике, а надамо се и државним функционерима. С обзиром на значај великог датума који обиљежавамо планирали смо да у мјесецу фебруару направимо и богатији репертоар по питању гостујућих позоришних представа. Сами фебруарски програми, уколико се остваре у овом обиму, биће толико интезивни да би са нашим капацитетима задовољили можда и пола позоришне сезоне. Отуда у овом периоду очекујемо интезивну сарадњу и разумијевање од свих општинских органа и институција. </w:t>
      </w:r>
    </w:p>
    <w:p w14:paraId="5A5CF12A" w14:textId="09A21F44" w:rsidR="003B7447" w:rsidRDefault="003B7447" w:rsidP="000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B7447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Кроз једноставан увид у рад претходних година и деценија примијетили смо да за сами Дан ослобођења Никшића на централној манифестацији на вечерњој сцени игра увијек позоришна представа из неког гостујућег позоришта. Као позориште које ужива углед и носи велику традицију одлучили смо да ове године ту праксу прекинемо, односно да припремимо премијеру нове представе управо за општински празник 18. септембар. И по том питању смо већ успоставили контакте са значајним глумачким и редитељским именима и надамо се опет свеобухватној помоћи од стране свих општинских структура. Мислимо да не треба да објашњавамо колико би и такав један догађај био корак напријед за наш град у сваком смислу и колико би допринио остваривању заједничке иницијативе за то да Никшић из статуса општине буде унапријеђен у статус града и тиме се и формално изједначи са Цетињем и Подгорицом. </w:t>
      </w:r>
    </w:p>
    <w:p w14:paraId="2B961AF8" w14:textId="38955677" w:rsidR="00070415" w:rsidRDefault="00070415" w:rsidP="000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422D9D0" w14:textId="4B67270B" w:rsidR="00070415" w:rsidRDefault="00070415" w:rsidP="000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F51BF5D" w14:textId="0E2741FB" w:rsidR="00DE2E30" w:rsidRDefault="00DE2E30" w:rsidP="000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31B02F1" w14:textId="0E4C9957" w:rsidR="00DE2E30" w:rsidRDefault="00DE2E30" w:rsidP="000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BA36484" w14:textId="77777777" w:rsidR="00DE2E30" w:rsidRDefault="00DE2E30" w:rsidP="000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911E872" w14:textId="77777777" w:rsidR="00070415" w:rsidRDefault="00070415" w:rsidP="00070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pPr w:leftFromText="180" w:rightFromText="180" w:bottomFromText="160" w:vertAnchor="text" w:tblpXSpec="center"/>
        <w:tblW w:w="8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2062"/>
      </w:tblGrid>
      <w:tr w:rsidR="00070415" w:rsidRPr="003B7447" w14:paraId="6193AA7E" w14:textId="77777777" w:rsidTr="00070415">
        <w:trPr>
          <w:trHeight w:val="1008"/>
        </w:trPr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F4C9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П</w:t>
            </w:r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РЕДЛОГ ФИНАНСИЈСКЕ КОНСТРУКЦИЈЕ ПРЕМИЈЕРЕ ЗА ДВИЈЕ ПОЗОРИШНЕ ПРЕДСТАВЕ НА ВЕЧЕРЊОЈ СЦЕНИ</w:t>
            </w:r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ЗА 16. ФЕБРУАР И ЗА 18. СЕПТЕМБАР</w:t>
            </w:r>
          </w:p>
        </w:tc>
      </w:tr>
      <w:tr w:rsidR="00070415" w:rsidRPr="003B7447" w14:paraId="023030E1" w14:textId="77777777" w:rsidTr="00070415">
        <w:trPr>
          <w:trHeight w:val="1040"/>
        </w:trPr>
        <w:tc>
          <w:tcPr>
            <w:tcW w:w="6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9E0E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Ауторски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хонорар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режију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C69B6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12.000,00€</w:t>
            </w:r>
          </w:p>
        </w:tc>
      </w:tr>
      <w:tr w:rsidR="00070415" w:rsidRPr="003B7447" w14:paraId="75091D0B" w14:textId="77777777" w:rsidTr="00070415">
        <w:trPr>
          <w:trHeight w:val="720"/>
        </w:trPr>
        <w:tc>
          <w:tcPr>
            <w:tcW w:w="6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DF57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Ауторски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хонорар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идејна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рјешења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израда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сценографије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B78A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6.000,00€</w:t>
            </w:r>
          </w:p>
        </w:tc>
      </w:tr>
      <w:tr w:rsidR="00070415" w:rsidRPr="003B7447" w14:paraId="32EE22DD" w14:textId="77777777" w:rsidTr="00070415">
        <w:trPr>
          <w:trHeight w:val="720"/>
        </w:trPr>
        <w:tc>
          <w:tcPr>
            <w:tcW w:w="6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2F32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Ауторски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хонорар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идејна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рјешења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костимографије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израда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костима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8946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6.000,00€</w:t>
            </w:r>
          </w:p>
        </w:tc>
      </w:tr>
      <w:tr w:rsidR="00070415" w:rsidRPr="003B7447" w14:paraId="060442DF" w14:textId="77777777" w:rsidTr="00070415">
        <w:trPr>
          <w:trHeight w:val="720"/>
        </w:trPr>
        <w:tc>
          <w:tcPr>
            <w:tcW w:w="6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495B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Ауторски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хонорар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музику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студијско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снимање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7166D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3.000,00€</w:t>
            </w:r>
          </w:p>
        </w:tc>
      </w:tr>
      <w:tr w:rsidR="00070415" w:rsidRPr="003B7447" w14:paraId="0899A2AC" w14:textId="77777777" w:rsidTr="00070415">
        <w:trPr>
          <w:trHeight w:val="720"/>
        </w:trPr>
        <w:tc>
          <w:tcPr>
            <w:tcW w:w="6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0E72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Хонорари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глумцима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припрему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представе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51669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6.500,00€</w:t>
            </w:r>
          </w:p>
        </w:tc>
      </w:tr>
      <w:tr w:rsidR="00070415" w:rsidRPr="003B7447" w14:paraId="3A31D128" w14:textId="77777777" w:rsidTr="00070415">
        <w:trPr>
          <w:trHeight w:val="720"/>
        </w:trPr>
        <w:tc>
          <w:tcPr>
            <w:tcW w:w="6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62F3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смјештај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исхрана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протагониста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представе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BC2D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7.000,00€</w:t>
            </w:r>
          </w:p>
        </w:tc>
      </w:tr>
      <w:tr w:rsidR="00070415" w:rsidRPr="003B7447" w14:paraId="01449D0A" w14:textId="77777777" w:rsidTr="00070415">
        <w:trPr>
          <w:trHeight w:val="720"/>
        </w:trPr>
        <w:tc>
          <w:tcPr>
            <w:tcW w:w="6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B7F6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Трошкови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превоза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чланова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ансамбла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B1656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2.000,00€</w:t>
            </w:r>
          </w:p>
        </w:tc>
      </w:tr>
      <w:tr w:rsidR="00070415" w:rsidRPr="003B7447" w14:paraId="1272B52B" w14:textId="77777777" w:rsidTr="00070415">
        <w:trPr>
          <w:trHeight w:val="720"/>
        </w:trPr>
        <w:tc>
          <w:tcPr>
            <w:tcW w:w="6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93A29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Пропагандно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материјал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графичко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обликовање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1335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4.000,00€</w:t>
            </w:r>
          </w:p>
        </w:tc>
      </w:tr>
      <w:tr w:rsidR="00070415" w:rsidRPr="003B7447" w14:paraId="3E8E4E62" w14:textId="77777777" w:rsidTr="00070415">
        <w:trPr>
          <w:trHeight w:val="720"/>
        </w:trPr>
        <w:tc>
          <w:tcPr>
            <w:tcW w:w="6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EF16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Пратећи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трошкови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репрезентација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снимање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D0F3D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3.000,00€</w:t>
            </w:r>
          </w:p>
        </w:tc>
      </w:tr>
      <w:tr w:rsidR="00070415" w:rsidRPr="003B7447" w14:paraId="083C7F24" w14:textId="77777777" w:rsidTr="00070415">
        <w:trPr>
          <w:trHeight w:val="720"/>
        </w:trPr>
        <w:tc>
          <w:tcPr>
            <w:tcW w:w="6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DA6B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Порези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прирези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банкарске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провизије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537D9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3.000,00€</w:t>
            </w:r>
          </w:p>
        </w:tc>
      </w:tr>
      <w:tr w:rsidR="00070415" w:rsidRPr="003B7447" w14:paraId="0F3A0159" w14:textId="77777777" w:rsidTr="00070415">
        <w:trPr>
          <w:trHeight w:val="720"/>
        </w:trPr>
        <w:tc>
          <w:tcPr>
            <w:tcW w:w="6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2C7F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Укупно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5C242" w14:textId="77777777" w:rsidR="00070415" w:rsidRPr="003B7447" w:rsidRDefault="00070415" w:rsidP="00C00224">
            <w:pPr>
              <w:spacing w:before="100" w:beforeAutospacing="1" w:after="100" w:afterAutospacing="1"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52.500,00€</w:t>
            </w:r>
          </w:p>
        </w:tc>
      </w:tr>
    </w:tbl>
    <w:p w14:paraId="15579342" w14:textId="77777777" w:rsidR="00070415" w:rsidRPr="003B7447" w:rsidRDefault="00070415" w:rsidP="003B7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FBF39C0" w14:textId="78CA3A36" w:rsidR="003B7447" w:rsidRDefault="003B7447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B7447">
        <w:rPr>
          <w:rFonts w:ascii="Times New Roman" w:hAnsi="Times New Roman" w:cs="Times New Roman"/>
          <w:sz w:val="28"/>
          <w:szCs w:val="28"/>
          <w:lang w:val="sr-Cyrl-RS"/>
        </w:rPr>
        <w:t xml:space="preserve">Рачунамо да ћемо успјети да обрадујемо и најмлађе са представом из сопствене продукције. Ваља рећи да су млади популација према којој гајимо </w:t>
      </w:r>
      <w:r w:rsidRPr="003B7447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посебан сензибилитет и да у склопу мјесечних репертоара увијек имамо програме за њих.</w:t>
      </w:r>
    </w:p>
    <w:p w14:paraId="4DEF1122" w14:textId="77777777" w:rsidR="003B75E9" w:rsidRDefault="003B75E9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pPr w:leftFromText="180" w:rightFromText="180" w:vertAnchor="text"/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630"/>
        <w:gridCol w:w="1591"/>
      </w:tblGrid>
      <w:tr w:rsidR="00070415" w:rsidRPr="003B7447" w14:paraId="42FC5904" w14:textId="77777777" w:rsidTr="00070415">
        <w:trPr>
          <w:trHeight w:val="1008"/>
        </w:trPr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248E" w14:textId="77777777" w:rsidR="00070415" w:rsidRPr="003B7447" w:rsidRDefault="00070415" w:rsidP="00C0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П</w:t>
            </w:r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РЕДЛОГ ФИНАНСИЈСКЕ КОНСТРУКЦИЈЕ ПРЕМИЈЕРЕ ПРЕДСТАВЕ ЗА Д‌ЈЕЦУ</w:t>
            </w:r>
          </w:p>
        </w:tc>
      </w:tr>
      <w:tr w:rsidR="00070415" w:rsidRPr="003B7447" w14:paraId="2E32A330" w14:textId="77777777" w:rsidTr="00070415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D660" w14:textId="77777777" w:rsidR="00070415" w:rsidRPr="003B7447" w:rsidRDefault="00070415" w:rsidP="00C00224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        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1E9B" w14:textId="77777777" w:rsidR="00070415" w:rsidRPr="003B7447" w:rsidRDefault="00070415" w:rsidP="00C002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Ауторски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хонорар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режију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F234" w14:textId="77777777" w:rsidR="00070415" w:rsidRPr="003B7447" w:rsidRDefault="00070415" w:rsidP="00C002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2.000,00€</w:t>
            </w:r>
          </w:p>
        </w:tc>
      </w:tr>
      <w:tr w:rsidR="00070415" w:rsidRPr="003B7447" w14:paraId="7D6DBE19" w14:textId="77777777" w:rsidTr="00070415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B2A4C" w14:textId="77777777" w:rsidR="00070415" w:rsidRPr="003B7447" w:rsidRDefault="00070415" w:rsidP="00C00224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        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98DA" w14:textId="77777777" w:rsidR="00070415" w:rsidRPr="003B7447" w:rsidRDefault="00070415" w:rsidP="00C002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Ауторски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хонорар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сценографију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израду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сценографије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A49C" w14:textId="77777777" w:rsidR="00070415" w:rsidRPr="003B7447" w:rsidRDefault="00070415" w:rsidP="00C002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1.500,00€</w:t>
            </w:r>
          </w:p>
        </w:tc>
      </w:tr>
      <w:tr w:rsidR="00070415" w:rsidRPr="003B7447" w14:paraId="51A1A899" w14:textId="77777777" w:rsidTr="00070415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C595" w14:textId="77777777" w:rsidR="00070415" w:rsidRPr="003B7447" w:rsidRDefault="00070415" w:rsidP="00C00224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        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D2C0" w14:textId="77777777" w:rsidR="00070415" w:rsidRPr="003B7447" w:rsidRDefault="00070415" w:rsidP="00C002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Ауторски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хонорар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костимографију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израда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костима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DFB3" w14:textId="77777777" w:rsidR="00070415" w:rsidRPr="003B7447" w:rsidRDefault="00070415" w:rsidP="00C002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1.500,00€</w:t>
            </w:r>
          </w:p>
        </w:tc>
      </w:tr>
      <w:tr w:rsidR="00070415" w:rsidRPr="003B7447" w14:paraId="0AE59A27" w14:textId="77777777" w:rsidTr="00070415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D5DD" w14:textId="77777777" w:rsidR="00070415" w:rsidRPr="003B7447" w:rsidRDefault="00070415" w:rsidP="00C00224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        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68CA" w14:textId="77777777" w:rsidR="00070415" w:rsidRPr="003B7447" w:rsidRDefault="00070415" w:rsidP="00C002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Ауторски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хонорар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музику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B744" w14:textId="77777777" w:rsidR="00070415" w:rsidRPr="003B7447" w:rsidRDefault="00070415" w:rsidP="00C002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500,00€</w:t>
            </w:r>
          </w:p>
        </w:tc>
      </w:tr>
      <w:tr w:rsidR="00070415" w:rsidRPr="003B7447" w14:paraId="7C189CA6" w14:textId="77777777" w:rsidTr="00070415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739B" w14:textId="77777777" w:rsidR="00070415" w:rsidRPr="003B7447" w:rsidRDefault="00070415" w:rsidP="00C00224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        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C5F2" w14:textId="77777777" w:rsidR="00070415" w:rsidRPr="003B7447" w:rsidRDefault="00070415" w:rsidP="00C002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Хонорари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глумцима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припрему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основу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уговора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9713" w14:textId="77777777" w:rsidR="00070415" w:rsidRPr="003B7447" w:rsidRDefault="00070415" w:rsidP="00C002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3.000,00€</w:t>
            </w:r>
          </w:p>
        </w:tc>
      </w:tr>
      <w:tr w:rsidR="00070415" w:rsidRPr="003B7447" w14:paraId="540DED8A" w14:textId="77777777" w:rsidTr="00070415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8A1C" w14:textId="77777777" w:rsidR="00070415" w:rsidRPr="003B7447" w:rsidRDefault="00070415" w:rsidP="00C00224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        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2D1D" w14:textId="77777777" w:rsidR="00070415" w:rsidRPr="003B7447" w:rsidRDefault="00070415" w:rsidP="00C002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Пропагандно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визуелни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идентитет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снимање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представе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7C51" w14:textId="77777777" w:rsidR="00070415" w:rsidRPr="003B7447" w:rsidRDefault="00070415" w:rsidP="00C002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1.100,00€</w:t>
            </w:r>
          </w:p>
        </w:tc>
      </w:tr>
      <w:tr w:rsidR="00070415" w:rsidRPr="003B7447" w14:paraId="7B8CF4AF" w14:textId="77777777" w:rsidTr="00070415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B73A" w14:textId="77777777" w:rsidR="00070415" w:rsidRPr="003B7447" w:rsidRDefault="00070415" w:rsidP="00C00224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        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7FBB9" w14:textId="77777777" w:rsidR="00070415" w:rsidRPr="003B7447" w:rsidRDefault="00070415" w:rsidP="00C002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Путни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трошкови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глумаца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9EE9" w14:textId="77777777" w:rsidR="00070415" w:rsidRPr="003B7447" w:rsidRDefault="00070415" w:rsidP="00C002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300,00€</w:t>
            </w:r>
          </w:p>
        </w:tc>
      </w:tr>
      <w:tr w:rsidR="00070415" w:rsidRPr="003B7447" w14:paraId="376B8A28" w14:textId="77777777" w:rsidTr="00070415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C593" w14:textId="77777777" w:rsidR="00070415" w:rsidRPr="003B7447" w:rsidRDefault="00070415" w:rsidP="00C00224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        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8246" w14:textId="77777777" w:rsidR="00070415" w:rsidRPr="003B7447" w:rsidRDefault="00070415" w:rsidP="00C002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Пратећи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трошкови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5AA86" w14:textId="77777777" w:rsidR="00070415" w:rsidRPr="003B7447" w:rsidRDefault="00070415" w:rsidP="00C002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400,00€</w:t>
            </w:r>
          </w:p>
        </w:tc>
      </w:tr>
      <w:tr w:rsidR="00070415" w:rsidRPr="003B7447" w14:paraId="3CB6315B" w14:textId="77777777" w:rsidTr="00070415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F234" w14:textId="77777777" w:rsidR="00070415" w:rsidRPr="003B7447" w:rsidRDefault="00070415" w:rsidP="00C00224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        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8E48" w14:textId="77777777" w:rsidR="00070415" w:rsidRPr="003B7447" w:rsidRDefault="00070415" w:rsidP="00C002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Порези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прирези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банкарске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провизије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2E62" w14:textId="77777777" w:rsidR="00070415" w:rsidRPr="003B7447" w:rsidRDefault="00070415" w:rsidP="00C002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600,00€</w:t>
            </w:r>
          </w:p>
        </w:tc>
      </w:tr>
      <w:tr w:rsidR="00070415" w:rsidRPr="003B7447" w14:paraId="65266794" w14:textId="77777777" w:rsidTr="00070415">
        <w:trPr>
          <w:trHeight w:val="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03C09" w14:textId="77777777" w:rsidR="00070415" w:rsidRPr="003B7447" w:rsidRDefault="00070415" w:rsidP="00C002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0628" w14:textId="77777777" w:rsidR="00070415" w:rsidRPr="003B7447" w:rsidRDefault="00070415" w:rsidP="00C002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Укупно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DAB1" w14:textId="77777777" w:rsidR="00070415" w:rsidRPr="003B7447" w:rsidRDefault="00070415" w:rsidP="00C0022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10.900,00€</w:t>
            </w:r>
          </w:p>
        </w:tc>
      </w:tr>
    </w:tbl>
    <w:p w14:paraId="3BBB3371" w14:textId="77777777" w:rsidR="005D5A5E" w:rsidRDefault="005D5A5E" w:rsidP="00974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7712B07" w14:textId="77777777" w:rsidR="003B75E9" w:rsidRDefault="003B75E9" w:rsidP="005D5A5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88FFDCB" w14:textId="21D3218F" w:rsidR="00974A84" w:rsidRPr="003B7447" w:rsidRDefault="00974A84" w:rsidP="005D5A5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B7447">
        <w:rPr>
          <w:rFonts w:ascii="Times New Roman" w:hAnsi="Times New Roman" w:cs="Times New Roman"/>
          <w:sz w:val="28"/>
          <w:szCs w:val="28"/>
          <w:lang w:val="sr-Cyrl-RS"/>
        </w:rPr>
        <w:t xml:space="preserve">Дигитализација наше биоскопске технике нам је већ у претходном периоду донијела корист и радост. Планирамо да пројекције одабраних и нових филмских наслова и садржаја тек употпуне и обогате наш репертоар, </w:t>
      </w:r>
      <w:r w:rsidRPr="003B7447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наглашавајући да на том пољу не желимо никоме да будемо финансијска и маркетиншка конкуренција, већ искрена умјетничка подршка. </w:t>
      </w:r>
    </w:p>
    <w:p w14:paraId="670817E1" w14:textId="77777777" w:rsidR="00974A84" w:rsidRPr="003B7447" w:rsidRDefault="00974A84" w:rsidP="00974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B7447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У периоду за нама смо се прилично руководили предлозима и захтјевима публике по питању организације и уприличавања музичких и фолклорних програма. На том плану се нећемо много мијењати. Једноставно, желимо да организујемо и омогућимо све оно што наши суграђани желе, а приличи намјени и угледу наше куће. </w:t>
      </w:r>
    </w:p>
    <w:p w14:paraId="62013AB7" w14:textId="54A3049B" w:rsidR="00974A84" w:rsidRDefault="00974A84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CF48860" w14:textId="77777777" w:rsidR="00070415" w:rsidRPr="003B7447" w:rsidRDefault="00070415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F3C098D" w14:textId="3653E17D" w:rsidR="003B7447" w:rsidRDefault="003B7447" w:rsidP="00DE2E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ME"/>
        </w:rPr>
      </w:pPr>
      <w:r>
        <w:rPr>
          <w:rFonts w:ascii="Times New Roman" w:hAnsi="Times New Roman" w:cs="Times New Roman"/>
          <w:b/>
          <w:sz w:val="28"/>
          <w:szCs w:val="28"/>
        </w:rPr>
        <w:t>20. „</w:t>
      </w:r>
      <w:r w:rsidRPr="003B7447">
        <w:rPr>
          <w:rFonts w:ascii="Times New Roman" w:hAnsi="Times New Roman" w:cs="Times New Roman"/>
          <w:b/>
          <w:sz w:val="28"/>
          <w:szCs w:val="28"/>
          <w:lang w:val="sr-Cyrl-RS"/>
        </w:rPr>
        <w:t>Међународни фестивал глумца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sr-Cyrl-ME"/>
        </w:rPr>
        <w:t>Никшић 2024“</w:t>
      </w:r>
    </w:p>
    <w:p w14:paraId="443F8A22" w14:textId="77777777" w:rsidR="00070415" w:rsidRPr="003B7447" w:rsidRDefault="00070415" w:rsidP="003B7447">
      <w:pPr>
        <w:tabs>
          <w:tab w:val="left" w:pos="2385"/>
          <w:tab w:val="center" w:pos="46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ME"/>
        </w:rPr>
      </w:pPr>
    </w:p>
    <w:p w14:paraId="3D476048" w14:textId="5B7FE7A9" w:rsidR="003B7447" w:rsidRDefault="003B7447" w:rsidP="000704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B7447">
        <w:rPr>
          <w:rFonts w:ascii="Times New Roman" w:hAnsi="Times New Roman" w:cs="Times New Roman"/>
          <w:sz w:val="28"/>
          <w:szCs w:val="28"/>
          <w:lang w:val="sr-Cyrl-RS"/>
        </w:rPr>
        <w:t xml:space="preserve">Већ смо навели да нас чека и фестивалски јубилеј. Двадесет година је наш град препознат као јединствено глумачко и опште умјетничко борилиште и сабиралиште. Свакако да планирамо да га за јубилеј додатно унаприједимо и освјежимо. Планирали смо извјесне промјене у начину селекције, у саставу Савјета, начину награђивања, броју награда, свечаностима отварања и затварања Фестивала, али и увођење пропратних фестивалских програма. Но, за те нимало лаке и озбиљне промјене биће потребна и већа подршка са стране. Свакако да не можемо да се жалимо на помоћ и наклоност Општине Никшић, али већ дуже вријеме јавно предлажемо да наш Фестивал добије карактер од државног значаја. И управо нам је то план и циљ ове године, те ћемо се томе посветити током наредних мјесеци и надамо се да ћемо и у Никшићу и шире добити и политичку и умјетничку подршку. Наш Фестивал је већ годинама интересантан људима и </w:t>
      </w:r>
      <w:r w:rsidRPr="003B7447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позориштима далеко ван нашега града и он одиста јесте постао интерес државе. Ред је да се та чињеница уважи и формално и суштински. </w:t>
      </w:r>
    </w:p>
    <w:p w14:paraId="6CA274EB" w14:textId="4AFE4177" w:rsidR="00615012" w:rsidRDefault="00615012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7224FE5" w14:textId="1A5FB99E" w:rsidR="00DE2E30" w:rsidRDefault="00DE2E30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560A96E" w14:textId="4850C24B" w:rsidR="00DE2E30" w:rsidRDefault="00DE2E30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D3A8F36" w14:textId="77777777" w:rsidR="00DE2E30" w:rsidRPr="003B7447" w:rsidRDefault="00DE2E30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pPr w:leftFromText="180" w:rightFromText="180" w:vertAnchor="text" w:tblpXSpec="center"/>
        <w:tblW w:w="8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6"/>
        <w:gridCol w:w="2539"/>
        <w:gridCol w:w="80"/>
      </w:tblGrid>
      <w:tr w:rsidR="003B7447" w:rsidRPr="003B7447" w14:paraId="634A664A" w14:textId="77777777" w:rsidTr="003B7447">
        <w:trPr>
          <w:gridAfter w:val="1"/>
          <w:wAfter w:w="20" w:type="dxa"/>
          <w:trHeight w:val="1008"/>
        </w:trPr>
        <w:tc>
          <w:tcPr>
            <w:tcW w:w="8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7FF2" w14:textId="27336393" w:rsidR="003B7447" w:rsidRPr="003B7447" w:rsidRDefault="003B7447" w:rsidP="00C00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ФИНАНСИЈСКА КОНСТРУКЦИЈА </w:t>
            </w:r>
            <w:r w:rsidR="0086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ME"/>
              </w:rPr>
              <w:t>20</w:t>
            </w:r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„МЕЂУНАРОДНОГ ФЕСТИВАЛА ГЛУМЦА – НИКШИЋ 2024“</w:t>
            </w:r>
          </w:p>
        </w:tc>
      </w:tr>
      <w:tr w:rsidR="003B7447" w:rsidRPr="003B7447" w14:paraId="19664F23" w14:textId="77777777" w:rsidTr="003B7447">
        <w:trPr>
          <w:trHeight w:val="720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31CFE" w14:textId="77777777" w:rsidR="003B7447" w:rsidRPr="003B7447" w:rsidRDefault="003B7447" w:rsidP="00C0022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репертоар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1CA3" w14:textId="77777777" w:rsidR="003B7447" w:rsidRPr="003B7447" w:rsidRDefault="003B7447" w:rsidP="00C00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38.600,00€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33CF5" w14:textId="77777777" w:rsidR="003B7447" w:rsidRPr="003B7447" w:rsidRDefault="003B7447" w:rsidP="00C0022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7447" w:rsidRPr="003B7447" w14:paraId="0ACB3CC5" w14:textId="77777777" w:rsidTr="003B7447">
        <w:trPr>
          <w:trHeight w:val="720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6AAD0" w14:textId="77777777" w:rsidR="003B7447" w:rsidRPr="003B7447" w:rsidRDefault="003B7447" w:rsidP="00C0022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Фестивалске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B0C7" w14:textId="77777777" w:rsidR="003B7447" w:rsidRPr="003B7447" w:rsidRDefault="003B7447" w:rsidP="00C00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4.400,00€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17325" w14:textId="77777777" w:rsidR="003B7447" w:rsidRPr="003B7447" w:rsidRDefault="003B7447" w:rsidP="00C0022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7447" w:rsidRPr="003B7447" w14:paraId="4E3D82A8" w14:textId="77777777" w:rsidTr="003B7447">
        <w:trPr>
          <w:trHeight w:val="720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FB61" w14:textId="77777777" w:rsidR="003B7447" w:rsidRPr="003B7447" w:rsidRDefault="003B7447" w:rsidP="00C0022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Хонорари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жирију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модератору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6795B" w14:textId="77777777" w:rsidR="003B7447" w:rsidRPr="003B7447" w:rsidRDefault="003B7447" w:rsidP="00C00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4.000,00€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A459D" w14:textId="77777777" w:rsidR="003B7447" w:rsidRPr="003B7447" w:rsidRDefault="003B7447" w:rsidP="00C0022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7447" w:rsidRPr="003B7447" w14:paraId="35582982" w14:textId="77777777" w:rsidTr="003B7447">
        <w:trPr>
          <w:trHeight w:val="720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A5328" w14:textId="77777777" w:rsidR="003B7447" w:rsidRPr="003B7447" w:rsidRDefault="003B7447" w:rsidP="00C0022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смјештај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исхрана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учесника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DD20" w14:textId="77777777" w:rsidR="003B7447" w:rsidRPr="003B7447" w:rsidRDefault="003B7447" w:rsidP="00C00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12.000,00€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40C4A" w14:textId="77777777" w:rsidR="003B7447" w:rsidRPr="003B7447" w:rsidRDefault="003B7447" w:rsidP="00C0022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7447" w:rsidRPr="003B7447" w14:paraId="549DF94E" w14:textId="77777777" w:rsidTr="003B7447">
        <w:trPr>
          <w:trHeight w:val="720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23AA" w14:textId="77777777" w:rsidR="003B7447" w:rsidRPr="003B7447" w:rsidRDefault="003B7447" w:rsidP="00C0022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Идејно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рјешење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визуелни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идентитет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штампање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рекламног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материјала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билтени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фестивалски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број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часописа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Позориште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F684" w14:textId="77777777" w:rsidR="003B7447" w:rsidRPr="003B7447" w:rsidRDefault="003B7447" w:rsidP="00C00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3.000,00€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703EA" w14:textId="77777777" w:rsidR="003B7447" w:rsidRPr="003B7447" w:rsidRDefault="003B7447" w:rsidP="00C0022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7447" w:rsidRPr="003B7447" w14:paraId="541237F1" w14:textId="77777777" w:rsidTr="003B7447">
        <w:trPr>
          <w:trHeight w:val="720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2023F" w14:textId="77777777" w:rsidR="003B7447" w:rsidRPr="003B7447" w:rsidRDefault="003B7447" w:rsidP="00C0022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Превоз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учесника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авио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превози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0DB7" w14:textId="77777777" w:rsidR="003B7447" w:rsidRPr="003B7447" w:rsidRDefault="003B7447" w:rsidP="00C00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3.000,00€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415BA" w14:textId="77777777" w:rsidR="003B7447" w:rsidRPr="003B7447" w:rsidRDefault="003B7447" w:rsidP="00C0022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7447" w:rsidRPr="003B7447" w14:paraId="164D5FAF" w14:textId="77777777" w:rsidTr="003B7447">
        <w:trPr>
          <w:trHeight w:val="720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8FB4E" w14:textId="77777777" w:rsidR="003B7447" w:rsidRPr="003B7447" w:rsidRDefault="003B7447" w:rsidP="00C0022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Пратећи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трошкови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репрезентација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клубу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Позоришта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трошкови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горива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...)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DC89C" w14:textId="77777777" w:rsidR="003B7447" w:rsidRPr="003B7447" w:rsidRDefault="003B7447" w:rsidP="00C00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4.000,00€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5EA61" w14:textId="77777777" w:rsidR="003B7447" w:rsidRPr="003B7447" w:rsidRDefault="003B7447" w:rsidP="00C0022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7447" w:rsidRPr="003B7447" w14:paraId="28724D76" w14:textId="77777777" w:rsidTr="003B7447">
        <w:trPr>
          <w:trHeight w:val="720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C8B40" w14:textId="77777777" w:rsidR="003B7447" w:rsidRPr="003B7447" w:rsidRDefault="003B7447" w:rsidP="00C0022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Порези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прирези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Уговоре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д‌јелу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банкарске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провизије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E573" w14:textId="77777777" w:rsidR="003B7447" w:rsidRPr="003B7447" w:rsidRDefault="003B7447" w:rsidP="00C00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1000,00€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D4665" w14:textId="77777777" w:rsidR="003B7447" w:rsidRPr="003B7447" w:rsidRDefault="003B7447" w:rsidP="00C0022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7447" w:rsidRPr="003B7447" w14:paraId="77D3948E" w14:textId="77777777" w:rsidTr="003B7447">
        <w:trPr>
          <w:trHeight w:val="720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6742" w14:textId="77777777" w:rsidR="003B7447" w:rsidRPr="003B7447" w:rsidRDefault="003B7447" w:rsidP="00C0022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Укупно</w:t>
            </w:r>
            <w:proofErr w:type="spellEnd"/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1C15" w14:textId="2F514CD9" w:rsidR="003B7447" w:rsidRPr="003B7447" w:rsidRDefault="003B7447" w:rsidP="00C002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</w:t>
            </w:r>
            <w:r w:rsidRPr="003B7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000</w:t>
            </w:r>
            <w:r w:rsidR="00BC7B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,00€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20196" w14:textId="77777777" w:rsidR="003B7447" w:rsidRPr="003B7447" w:rsidRDefault="003B7447" w:rsidP="00C0022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4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ED4FC25" w14:textId="3F3C2E72" w:rsidR="00974A84" w:rsidRDefault="00974A84" w:rsidP="003B7447">
      <w:pPr>
        <w:spacing w:line="360" w:lineRule="auto"/>
        <w:jc w:val="both"/>
        <w:rPr>
          <w:sz w:val="24"/>
          <w:szCs w:val="24"/>
          <w:lang w:val="sr-Cyrl-RS"/>
        </w:rPr>
      </w:pPr>
    </w:p>
    <w:p w14:paraId="0535A06F" w14:textId="17B158FF" w:rsidR="006A40C9" w:rsidRPr="006A40C9" w:rsidRDefault="006A40C9" w:rsidP="006A4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A40C9">
        <w:rPr>
          <w:rFonts w:ascii="Times New Roman" w:hAnsi="Times New Roman" w:cs="Times New Roman"/>
          <w:b/>
          <w:sz w:val="32"/>
          <w:szCs w:val="32"/>
        </w:rPr>
        <w:t>Издавачка</w:t>
      </w:r>
      <w:proofErr w:type="spellEnd"/>
      <w:r w:rsidRPr="006A40C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A40C9">
        <w:rPr>
          <w:rFonts w:ascii="Times New Roman" w:hAnsi="Times New Roman" w:cs="Times New Roman"/>
          <w:b/>
          <w:sz w:val="32"/>
          <w:szCs w:val="32"/>
          <w:lang w:val="sr-Cyrl-ME"/>
        </w:rPr>
        <w:t>дј</w:t>
      </w:r>
      <w:r w:rsidRPr="006A40C9">
        <w:rPr>
          <w:rFonts w:ascii="Times New Roman" w:hAnsi="Times New Roman" w:cs="Times New Roman"/>
          <w:b/>
          <w:sz w:val="32"/>
          <w:szCs w:val="32"/>
        </w:rPr>
        <w:t>елатност</w:t>
      </w:r>
      <w:proofErr w:type="spellEnd"/>
    </w:p>
    <w:p w14:paraId="75587772" w14:textId="77777777" w:rsidR="006A40C9" w:rsidRDefault="006A40C9" w:rsidP="006A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B484C" w14:textId="77777777" w:rsidR="006A40C9" w:rsidRPr="00D82817" w:rsidRDefault="006A40C9" w:rsidP="006A4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17D6D" w14:textId="2A8884F4" w:rsidR="00070415" w:rsidRPr="006A40C9" w:rsidRDefault="006A40C9" w:rsidP="00070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E4782D" w14:textId="4CA0A948" w:rsidR="006A40C9" w:rsidRPr="006A40C9" w:rsidRDefault="00070415" w:rsidP="003B7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Сегменти рада издавачке дјелатности саставни су дио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Никшићког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позоришта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6A40C9"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и њихова реализација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зависи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расположивости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буџетских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намјене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требало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већем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обиму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планирати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обезбиједити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  <w:lang w:val="sr-Cyrl-ME"/>
        </w:rPr>
        <w:t>,</w:t>
      </w:r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6A40C9"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без обзира да ли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информативним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театролошко-театрографским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публикацијама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, </w:t>
      </w:r>
      <w:r w:rsidR="006A40C9"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новим институционалним садржајима,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пратећим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активностима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6A40C9"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гледано у цјелини </w:t>
      </w:r>
      <w:r w:rsidR="006A40C9" w:rsidRPr="006A40C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драмске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умјетности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продуцентских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репертоарских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планова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Никшићког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C9" w:rsidRPr="006A40C9">
        <w:rPr>
          <w:rFonts w:ascii="Times New Roman" w:hAnsi="Times New Roman" w:cs="Times New Roman"/>
          <w:sz w:val="28"/>
          <w:szCs w:val="28"/>
        </w:rPr>
        <w:t>позоришта</w:t>
      </w:r>
      <w:proofErr w:type="spellEnd"/>
      <w:r w:rsidR="006A40C9" w:rsidRPr="006A40C9">
        <w:rPr>
          <w:rFonts w:ascii="Times New Roman" w:hAnsi="Times New Roman" w:cs="Times New Roman"/>
          <w:sz w:val="28"/>
          <w:szCs w:val="28"/>
        </w:rPr>
        <w:t>.</w:t>
      </w:r>
    </w:p>
    <w:p w14:paraId="4DE34FBB" w14:textId="1172F59E" w:rsidR="006A40C9" w:rsidRPr="00BC7B92" w:rsidRDefault="006A40C9" w:rsidP="003B7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6A40C9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предстојећем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једногодишњем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планирано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објављивање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часописа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Позориште</w:t>
      </w:r>
      <w:proofErr w:type="spellEnd"/>
      <w:proofErr w:type="gramStart"/>
      <w:r w:rsidRPr="006A40C9">
        <w:rPr>
          <w:rFonts w:ascii="Times New Roman" w:hAnsi="Times New Roman" w:cs="Times New Roman"/>
          <w:sz w:val="28"/>
          <w:szCs w:val="28"/>
        </w:rPr>
        <w:t>“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(</w:t>
      </w:r>
      <w:proofErr w:type="gramEnd"/>
      <w:r w:rsidRPr="006A40C9">
        <w:rPr>
          <w:rFonts w:ascii="Times New Roman" w:hAnsi="Times New Roman" w:cs="Times New Roman"/>
          <w:sz w:val="28"/>
          <w:szCs w:val="28"/>
          <w:lang w:val="sr-Cyrl-ME"/>
        </w:rPr>
        <w:t>четири броја годишње</w:t>
      </w:r>
      <w:r w:rsidR="00070415">
        <w:rPr>
          <w:rFonts w:ascii="Times New Roman" w:hAnsi="Times New Roman" w:cs="Times New Roman"/>
          <w:sz w:val="28"/>
          <w:szCs w:val="28"/>
          <w:lang w:val="sr-Cyrl-ME"/>
        </w:rPr>
        <w:t>).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Часопис је већ деценију и по </w:t>
      </w:r>
      <w:proofErr w:type="spellStart"/>
      <w:r w:rsidRPr="006A40C9">
        <w:rPr>
          <w:rFonts w:ascii="Times New Roman" w:hAnsi="Times New Roman" w:cs="Times New Roman"/>
          <w:sz w:val="28"/>
          <w:szCs w:val="28"/>
          <w:lang w:val="sr-Cyrl-ME"/>
        </w:rPr>
        <w:t>суфинасиран</w:t>
      </w:r>
      <w:proofErr w:type="spellEnd"/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од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Министарства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културе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медија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објављивање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публикације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неопходно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годишњем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нивоу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обезбиједити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око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двије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хиљаде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(</w:t>
      </w:r>
      <w:r w:rsidRPr="006A40C9">
        <w:rPr>
          <w:rFonts w:ascii="Times New Roman" w:hAnsi="Times New Roman" w:cs="Times New Roman"/>
          <w:b/>
          <w:sz w:val="28"/>
          <w:szCs w:val="28"/>
        </w:rPr>
        <w:t>2000</w:t>
      </w:r>
      <w:proofErr w:type="gramStart"/>
      <w:r w:rsidRPr="006A40C9">
        <w:rPr>
          <w:rFonts w:ascii="Times New Roman" w:hAnsi="Times New Roman" w:cs="Times New Roman"/>
          <w:b/>
          <w:sz w:val="28"/>
          <w:szCs w:val="28"/>
        </w:rPr>
        <w:t>,00</w:t>
      </w:r>
      <w:proofErr w:type="gramEnd"/>
      <w:r w:rsidRPr="006A40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еура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Објављивање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четири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броја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часописа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прати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њихово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презентовање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промовисање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позиву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другим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позоришним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срединама</w:t>
      </w:r>
      <w:proofErr w:type="spellEnd"/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или његову медијску презентацију. </w:t>
      </w:r>
    </w:p>
    <w:p w14:paraId="24769CAA" w14:textId="39DFCA86" w:rsidR="006A40C9" w:rsidRPr="006A40C9" w:rsidRDefault="006A40C9" w:rsidP="003B7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6A40C9">
        <w:rPr>
          <w:rFonts w:ascii="Times New Roman" w:hAnsi="Times New Roman" w:cs="Times New Roman"/>
          <w:sz w:val="28"/>
          <w:szCs w:val="28"/>
          <w:lang w:val="sr-Cyrl-ME"/>
        </w:rPr>
        <w:tab/>
        <w:t xml:space="preserve">Поводом предстојећег јубилеја - 140 година позоришне традиције у Никшићу, Издавачка </w:t>
      </w:r>
      <w:proofErr w:type="spellStart"/>
      <w:r w:rsidRPr="006A40C9">
        <w:rPr>
          <w:rFonts w:ascii="Times New Roman" w:hAnsi="Times New Roman" w:cs="Times New Roman"/>
          <w:sz w:val="28"/>
          <w:szCs w:val="28"/>
          <w:lang w:val="sr-Cyrl-ME"/>
        </w:rPr>
        <w:t>дјелтност</w:t>
      </w:r>
      <w:proofErr w:type="spellEnd"/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ће ускоро (јануар – фебруар) објавити </w:t>
      </w:r>
      <w:proofErr w:type="spellStart"/>
      <w:r w:rsidRPr="006A40C9">
        <w:rPr>
          <w:rFonts w:ascii="Times New Roman" w:hAnsi="Times New Roman" w:cs="Times New Roman"/>
          <w:sz w:val="28"/>
          <w:szCs w:val="28"/>
          <w:lang w:val="sr-Cyrl-ME"/>
        </w:rPr>
        <w:t>театрографско</w:t>
      </w:r>
      <w:proofErr w:type="spellEnd"/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штиво лексиконског карактера, под називом „Филмски и позоришни ствараоци 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Никшића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1945-2021“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>. Такође, почетком године, у духу обиљежавања значајних датума из историје позоришта у Црној Гори, организоваћемо промоцију новог теат</w:t>
      </w:r>
      <w:r w:rsidR="00070415">
        <w:rPr>
          <w:rFonts w:ascii="Times New Roman" w:hAnsi="Times New Roman" w:cs="Times New Roman"/>
          <w:sz w:val="28"/>
          <w:szCs w:val="28"/>
          <w:lang w:val="sr-Cyrl-ME"/>
        </w:rPr>
        <w:t>ро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лошког наслова „Позориште у Црној Гори“, који је зборник театролошких истраживања и других научних радова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lastRenderedPageBreak/>
        <w:t>из области културологије о развоју драмске умјетности у Црној Гори кроз вјекове.</w:t>
      </w:r>
    </w:p>
    <w:p w14:paraId="7564F687" w14:textId="59A9785A" w:rsidR="006A40C9" w:rsidRPr="006A40C9" w:rsidRDefault="006A40C9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6A40C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првом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кварталу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наредне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планирано је да се обезбиједе адекватни услови за адекватно архивирање богате позоришне грађе, коју смо према важећим законским прописима дужни да трајно чувамо, како по стандардима савременог театра, тако и по архивским нормативима. За тај дио планираних активности (набавка адекватних непровидних портфолија и другог заштитног документационог материјала и адекватних ормара са металним полицама) неопходно је из Буџета обезбиједити око </w:t>
      </w:r>
      <w:r w:rsidRPr="006A40C9">
        <w:rPr>
          <w:rFonts w:ascii="Times New Roman" w:hAnsi="Times New Roman" w:cs="Times New Roman"/>
          <w:b/>
          <w:sz w:val="28"/>
          <w:szCs w:val="28"/>
          <w:lang w:val="sr-Cyrl-ME"/>
        </w:rPr>
        <w:t>2500,00 еура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>. Документациона - продуцентска грађа, након набавке неопходних средстава за рад, била би смјештена у просторији на приземљу зграде Позоришта, како би била доступна драмским умјетницима, истраживачима из различитих области културе и публици у постојећој форми, или кроз организовање изложби различите тематике у фоајеима који се налазе у непосредној близини овог дијела зграде Позоришта. Комплетна документациона грађа је дигитализована и доступна је свим заинтересованим лицима и субјектима.</w:t>
      </w:r>
    </w:p>
    <w:p w14:paraId="3D5291E7" w14:textId="5969449B" w:rsidR="006A40C9" w:rsidRPr="006A40C9" w:rsidRDefault="006A40C9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6A40C9">
        <w:rPr>
          <w:rFonts w:ascii="Times New Roman" w:hAnsi="Times New Roman" w:cs="Times New Roman"/>
          <w:sz w:val="28"/>
          <w:szCs w:val="28"/>
          <w:lang w:val="sr-Cyrl-ME"/>
        </w:rPr>
        <w:t>Да би Издавачка дјелатност Никшићког позоришта функционисала као заокружена цјелина, која је са једне стране у служби продукције, а са друге публике и грађанства уопште, планирано је да се у слопу ов</w:t>
      </w:r>
      <w:r w:rsidR="00BC7B92">
        <w:rPr>
          <w:rFonts w:ascii="Times New Roman" w:hAnsi="Times New Roman" w:cs="Times New Roman"/>
          <w:sz w:val="28"/>
          <w:szCs w:val="28"/>
          <w:lang w:val="sr-Cyrl-ME"/>
        </w:rPr>
        <w:t>ог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орг</w:t>
      </w:r>
      <w:r w:rsidR="00BC7B92">
        <w:rPr>
          <w:rFonts w:ascii="Times New Roman" w:hAnsi="Times New Roman" w:cs="Times New Roman"/>
          <w:sz w:val="28"/>
          <w:szCs w:val="28"/>
          <w:lang w:val="sr-Cyrl-ME"/>
        </w:rPr>
        <w:t>а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низационог сектора формира специјализована библиотека, која ће служити за развој Никшићког позоришта као препознатљиве Установе не само у Црној Гори. Библиотека би, такође била смјештена у просторији на приземљу, у којој би био смјештен и документациони центар. За почетак рада овог сегмента Издавачке дјелатности већ посједујемо одређени фонд књига (књиге драма аутора из Црне Горе и свјетских драмских писаца, бројна театролошка и театрографска штива, као и друге публикације које су од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lastRenderedPageBreak/>
        <w:t>значаја за развој позоришта као умјетности). Одређени фонд књига Никшићко позориште би добило од Централне народне библиотеке „Ђурђе Црнојевић“ и од издавачких дјелатности позоришних кућа из Црне Горе и земаља Региона. Кроз рад ове специјализоване библиотеке била би успостављена чвршћа међуинституционална сарадња са другим позориштима и библиотека</w:t>
      </w:r>
      <w:r w:rsidR="00BC7B92">
        <w:rPr>
          <w:rFonts w:ascii="Times New Roman" w:hAnsi="Times New Roman" w:cs="Times New Roman"/>
          <w:sz w:val="28"/>
          <w:szCs w:val="28"/>
          <w:lang w:val="sr-Cyrl-ME"/>
        </w:rPr>
        <w:t>ма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у земљи и иностранству, позоришним музејима и институтима, те академијама драмских умјетности. </w:t>
      </w:r>
    </w:p>
    <w:p w14:paraId="23B4244F" w14:textId="2A94EDE6" w:rsidR="006A40C9" w:rsidRPr="006A40C9" w:rsidRDefault="006A40C9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За потребе оснивања специјализоване библиотеке у Никшићком позоришту за почетак би требало из Буџета издвојити око </w:t>
      </w:r>
      <w:r w:rsidRPr="00DE2E3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3000,00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Pr="00DE2E3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еура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>, с</w:t>
      </w:r>
      <w:r w:rsidRPr="006A40C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>тим што би у континуитету, првих година рада библиотеке била неопходна макар симболична финанси</w:t>
      </w:r>
      <w:r w:rsidR="00BC7B92">
        <w:rPr>
          <w:rFonts w:ascii="Times New Roman" w:hAnsi="Times New Roman" w:cs="Times New Roman"/>
          <w:sz w:val="28"/>
          <w:szCs w:val="28"/>
          <w:lang w:val="sr-Cyrl-ME"/>
        </w:rPr>
        <w:t>ј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>ска подршка од оснивача</w:t>
      </w:r>
      <w:r w:rsidRPr="006A40C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за попуњавање фонда, а Извјештај о раду би потврђивао намјенску употребу опредијељених средстава. Отварањем савременог документационог центра и специјализоване библиотеке, Никшићко позориште би било прво Позориште у Црној Гори које је ову дјелатност ускладило по стандарду театара у земљама Европске Уније и свијета. На тај начин би </w:t>
      </w:r>
      <w:r w:rsidR="00070415">
        <w:rPr>
          <w:rFonts w:ascii="Times New Roman" w:hAnsi="Times New Roman" w:cs="Times New Roman"/>
          <w:sz w:val="28"/>
          <w:szCs w:val="28"/>
          <w:lang w:val="sr-Cyrl-ME"/>
        </w:rPr>
        <w:t xml:space="preserve">се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>Никшићко позориште и град Никшић додатно позиционира</w:t>
      </w:r>
      <w:r w:rsidR="00070415">
        <w:rPr>
          <w:rFonts w:ascii="Times New Roman" w:hAnsi="Times New Roman" w:cs="Times New Roman"/>
          <w:sz w:val="28"/>
          <w:szCs w:val="28"/>
          <w:lang w:val="sr-Cyrl-ME"/>
        </w:rPr>
        <w:t>ли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на културолошкој мапи Црне Горе и овог дијела Европе, већ препознатљиви као колијевка драмских умјетника и средина која је позоришним трајањем спојила три вијека. </w:t>
      </w:r>
    </w:p>
    <w:p w14:paraId="50E1B8EC" w14:textId="3CF41069" w:rsidR="006A40C9" w:rsidRDefault="006A40C9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Текуће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Издавачке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40C9">
        <w:rPr>
          <w:rFonts w:ascii="Times New Roman" w:hAnsi="Times New Roman" w:cs="Times New Roman"/>
          <w:sz w:val="28"/>
          <w:szCs w:val="28"/>
        </w:rPr>
        <w:t>дјелатности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Никшићког</w:t>
      </w:r>
      <w:proofErr w:type="spellEnd"/>
      <w:proofErr w:type="gram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позоришта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односе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послове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афирмације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позоришне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продукције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кроз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срадању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медијима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јачањем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међуинституционалне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сарадње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посебно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информативне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Издавачка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дјелатност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наставиће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континуитету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наредном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једогодишњем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периоду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благовремено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информише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публику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конзументе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посредством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званичне </w:t>
      </w:r>
      <w:proofErr w:type="spellStart"/>
      <w:r w:rsidRPr="006A40C9">
        <w:rPr>
          <w:rFonts w:ascii="Times New Roman" w:hAnsi="Times New Roman" w:cs="Times New Roman"/>
          <w:i/>
          <w:sz w:val="28"/>
          <w:szCs w:val="28"/>
          <w:lang w:val="sr-Latn-RS"/>
        </w:rPr>
        <w:t>web</w:t>
      </w:r>
      <w:proofErr w:type="spellEnd"/>
      <w:r w:rsidRPr="006A40C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>странице.</w:t>
      </w:r>
    </w:p>
    <w:p w14:paraId="73D6535C" w14:textId="77777777" w:rsidR="006A40C9" w:rsidRPr="0081342E" w:rsidRDefault="006A40C9" w:rsidP="006A40C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 w:eastAsia="en-GB"/>
        </w:rPr>
      </w:pPr>
      <w:r w:rsidRPr="0081342E">
        <w:rPr>
          <w:rFonts w:ascii="Times New Roman" w:hAnsi="Times New Roman" w:cs="Times New Roman"/>
          <w:b/>
          <w:bCs/>
          <w:sz w:val="32"/>
          <w:szCs w:val="32"/>
          <w:lang w:val="sr-Latn-RS" w:eastAsia="en-GB"/>
        </w:rPr>
        <w:lastRenderedPageBreak/>
        <w:t>Планирана буџетска средства са квалификационом структуром запослених</w:t>
      </w:r>
    </w:p>
    <w:p w14:paraId="0048F906" w14:textId="2CDE74D6" w:rsidR="006A40C9" w:rsidRDefault="006A40C9" w:rsidP="006A40C9">
      <w:pPr>
        <w:jc w:val="both"/>
        <w:rPr>
          <w:rFonts w:ascii="Times New Roman" w:hAnsi="Times New Roman" w:cs="Times New Roman"/>
          <w:sz w:val="28"/>
          <w:szCs w:val="28"/>
          <w:lang w:val="sr-Latn-RS" w:eastAsia="en-GB"/>
        </w:rPr>
      </w:pP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 </w:t>
      </w:r>
    </w:p>
    <w:p w14:paraId="6D34EE29" w14:textId="77777777" w:rsidR="00070415" w:rsidRPr="0081342E" w:rsidRDefault="00070415" w:rsidP="006A40C9">
      <w:pPr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</w:p>
    <w:p w14:paraId="4EE05741" w14:textId="7CE1BFE0" w:rsidR="006A40C9" w:rsidRDefault="006A40C9" w:rsidP="00974A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 w:eastAsia="en-GB"/>
        </w:rPr>
      </w:pP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У Никшићком позоришту је радно ангажовано укупно 5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6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 запослен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их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, од чега је  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55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 запослен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о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 на неодређено вријеме и 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1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 запослени на одређено вријеме.</w:t>
      </w:r>
    </w:p>
    <w:p w14:paraId="7B8ADD1F" w14:textId="77777777" w:rsidR="003B7447" w:rsidRDefault="003B7447" w:rsidP="00974A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</w:p>
    <w:p w14:paraId="5260668D" w14:textId="246196BB" w:rsidR="006A40C9" w:rsidRPr="0081342E" w:rsidRDefault="006A40C9" w:rsidP="00974A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Квалификациона  структура запослених на неодређено и одређено вријеме:</w:t>
      </w:r>
    </w:p>
    <w:p w14:paraId="574B103F" w14:textId="77777777" w:rsidR="006A40C9" w:rsidRPr="0081342E" w:rsidRDefault="006A40C9" w:rsidP="00974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 </w:t>
      </w:r>
    </w:p>
    <w:p w14:paraId="75BB140E" w14:textId="77777777" w:rsidR="006A40C9" w:rsidRPr="0081342E" w:rsidRDefault="006A40C9" w:rsidP="00974A84">
      <w:pPr>
        <w:spacing w:after="0" w:line="360" w:lineRule="auto"/>
        <w:ind w:firstLine="990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-         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21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 запослених са 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ВСС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                     </w:t>
      </w:r>
    </w:p>
    <w:p w14:paraId="24FD4EC1" w14:textId="77777777" w:rsidR="006A40C9" w:rsidRPr="0081342E" w:rsidRDefault="006A40C9" w:rsidP="00974A84">
      <w:pPr>
        <w:spacing w:after="0" w:line="360" w:lineRule="auto"/>
        <w:ind w:firstLine="990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-         4 запослена са ВШ                            </w:t>
      </w:r>
    </w:p>
    <w:p w14:paraId="24C30AB9" w14:textId="77777777" w:rsidR="006A40C9" w:rsidRPr="0081342E" w:rsidRDefault="006A40C9" w:rsidP="00974A84">
      <w:pPr>
        <w:spacing w:after="0" w:line="360" w:lineRule="auto"/>
        <w:ind w:firstLine="990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-         29 запослених са 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ССС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                      </w:t>
      </w:r>
    </w:p>
    <w:p w14:paraId="697F0F0E" w14:textId="77777777" w:rsidR="006A40C9" w:rsidRPr="0081342E" w:rsidRDefault="006A40C9" w:rsidP="00974A84">
      <w:pPr>
        <w:spacing w:after="0" w:line="360" w:lineRule="auto"/>
        <w:ind w:firstLine="990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-         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1 запослени са ОШ                             </w:t>
      </w:r>
    </w:p>
    <w:p w14:paraId="4A718099" w14:textId="392B6382" w:rsidR="006A40C9" w:rsidRDefault="006A40C9" w:rsidP="00974A84">
      <w:pPr>
        <w:spacing w:after="0" w:line="360" w:lineRule="auto"/>
        <w:ind w:firstLine="990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-    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     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1 запослени на одређено вријеме са 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ВСС</w:t>
      </w:r>
    </w:p>
    <w:p w14:paraId="50953A4F" w14:textId="07EAB880" w:rsidR="003B7447" w:rsidRDefault="003B7447" w:rsidP="00974A84">
      <w:pPr>
        <w:spacing w:after="0" w:line="360" w:lineRule="auto"/>
        <w:ind w:firstLine="990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</w:p>
    <w:p w14:paraId="07DBCE09" w14:textId="144F17E1" w:rsidR="006A40C9" w:rsidRDefault="006A40C9" w:rsidP="00974A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81342E">
        <w:rPr>
          <w:rFonts w:ascii="Times New Roman" w:hAnsi="Times New Roman" w:cs="Times New Roman"/>
          <w:sz w:val="28"/>
          <w:szCs w:val="28"/>
          <w:lang w:val="pl-PL" w:eastAsia="en-GB"/>
        </w:rPr>
        <w:t>Планирани издаци за бруто зараде и доприносе послодавца за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 5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5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 запослен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их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 радника на неодређено и 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1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 xml:space="preserve"> запослени на одређено вријеме у 202</w:t>
      </w:r>
      <w:r>
        <w:rPr>
          <w:rFonts w:ascii="Times New Roman" w:hAnsi="Times New Roman" w:cs="Times New Roman"/>
          <w:sz w:val="28"/>
          <w:szCs w:val="28"/>
          <w:lang w:val="sr-Cyrl-RS" w:eastAsia="en-GB"/>
        </w:rPr>
        <w:t>4</w:t>
      </w:r>
      <w:r w:rsidRPr="0081342E">
        <w:rPr>
          <w:rFonts w:ascii="Times New Roman" w:hAnsi="Times New Roman" w:cs="Times New Roman"/>
          <w:sz w:val="28"/>
          <w:szCs w:val="28"/>
          <w:lang w:val="sr-Latn-RS" w:eastAsia="en-GB"/>
        </w:rPr>
        <w:t>. години износе </w:t>
      </w:r>
      <w:r w:rsidRPr="000636A6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580</w:t>
      </w:r>
      <w:r>
        <w:rPr>
          <w:rFonts w:ascii="Times New Roman" w:hAnsi="Times New Roman" w:cs="Times New Roman"/>
          <w:b/>
          <w:bCs/>
          <w:sz w:val="28"/>
          <w:szCs w:val="28"/>
          <w:lang w:val="sr-Cyrl-ME" w:eastAsia="en-GB"/>
        </w:rPr>
        <w:t xml:space="preserve"> </w:t>
      </w:r>
      <w:r w:rsidRPr="000636A6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000,</w:t>
      </w:r>
      <w:r w:rsidRPr="0081342E">
        <w:rPr>
          <w:rFonts w:ascii="Times New Roman" w:hAnsi="Times New Roman" w:cs="Times New Roman"/>
          <w:b/>
          <w:bCs/>
          <w:sz w:val="28"/>
          <w:szCs w:val="28"/>
          <w:lang w:eastAsia="en-GB"/>
        </w:rPr>
        <w:t>00</w:t>
      </w:r>
      <w:r w:rsidRPr="0081342E">
        <w:rPr>
          <w:rFonts w:ascii="Times New Roman" w:hAnsi="Times New Roman" w:cs="Times New Roman"/>
          <w:sz w:val="28"/>
          <w:szCs w:val="28"/>
          <w:lang w:eastAsia="en-GB"/>
        </w:rPr>
        <w:t> </w:t>
      </w:r>
      <w:proofErr w:type="spellStart"/>
      <w:r w:rsidRPr="0081342E">
        <w:rPr>
          <w:rFonts w:ascii="Times New Roman" w:hAnsi="Times New Roman" w:cs="Times New Roman"/>
          <w:sz w:val="28"/>
          <w:szCs w:val="28"/>
          <w:lang w:eastAsia="en-GB"/>
        </w:rPr>
        <w:t>еура</w:t>
      </w:r>
      <w:proofErr w:type="spellEnd"/>
      <w:r w:rsidRPr="0081342E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14:paraId="3953BEB9" w14:textId="3A12DC09" w:rsidR="00974A84" w:rsidRDefault="00974A84" w:rsidP="00974A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0090257B" w14:textId="34FA9BDA" w:rsidR="00070415" w:rsidRDefault="00070415" w:rsidP="00974A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0D39CE92" w14:textId="7DB663E1" w:rsidR="00070415" w:rsidRDefault="00070415" w:rsidP="00974A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5922B712" w14:textId="23D6073B" w:rsidR="00070415" w:rsidRDefault="00070415" w:rsidP="00974A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64E0262B" w14:textId="2E775DE2" w:rsidR="00070415" w:rsidRDefault="00070415" w:rsidP="00974A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34596BF6" w14:textId="77777777" w:rsidR="00DE2E30" w:rsidRDefault="00DE2E30" w:rsidP="00974A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59798817" w14:textId="2666AD27" w:rsidR="00070415" w:rsidRDefault="00070415" w:rsidP="00974A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36FF7EB7" w14:textId="22FD3EE1" w:rsidR="006A40C9" w:rsidRPr="006A40C9" w:rsidRDefault="006A40C9" w:rsidP="003B7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Latn-CS"/>
        </w:rPr>
      </w:pPr>
      <w:r w:rsidRPr="006A40C9">
        <w:rPr>
          <w:rFonts w:ascii="Times New Roman" w:hAnsi="Times New Roman" w:cs="Times New Roman"/>
          <w:b/>
          <w:bCs/>
          <w:sz w:val="32"/>
          <w:szCs w:val="32"/>
          <w:lang w:val="sr-Cyrl-ME"/>
        </w:rPr>
        <w:t>Финансијски план за</w:t>
      </w:r>
      <w:r w:rsidRPr="006A40C9">
        <w:rPr>
          <w:rFonts w:ascii="Times New Roman" w:hAnsi="Times New Roman" w:cs="Times New Roman"/>
          <w:b/>
          <w:bCs/>
          <w:sz w:val="32"/>
          <w:szCs w:val="32"/>
          <w:lang w:val="sr-Latn-CS"/>
        </w:rPr>
        <w:t xml:space="preserve"> 2024. годину</w:t>
      </w:r>
    </w:p>
    <w:p w14:paraId="02AD061B" w14:textId="77777777" w:rsidR="006A40C9" w:rsidRDefault="006A40C9" w:rsidP="006A40C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</w:pPr>
    </w:p>
    <w:p w14:paraId="42CFE232" w14:textId="77777777" w:rsidR="006A40C9" w:rsidRPr="006A40C9" w:rsidRDefault="006A40C9" w:rsidP="006A40C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</w:pPr>
      <w:r w:rsidRPr="006A40C9">
        <w:rPr>
          <w:rFonts w:ascii="Times New Roman" w:hAnsi="Times New Roman" w:cs="Times New Roman"/>
          <w:b/>
          <w:bCs/>
          <w:iCs/>
          <w:sz w:val="28"/>
          <w:szCs w:val="28"/>
          <w:lang w:val="sr-Cyrl-ME"/>
        </w:rPr>
        <w:t>ПРИХОДИ</w:t>
      </w:r>
      <w:r w:rsidRPr="006A40C9"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  <w:t>:</w:t>
      </w:r>
    </w:p>
    <w:p w14:paraId="3C256E56" w14:textId="77777777" w:rsidR="006A40C9" w:rsidRPr="006A40C9" w:rsidRDefault="006A40C9" w:rsidP="006A40C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3"/>
        <w:gridCol w:w="1896"/>
      </w:tblGrid>
      <w:tr w:rsidR="006A40C9" w:rsidRPr="006A40C9" w14:paraId="642F2C17" w14:textId="77777777" w:rsidTr="006A40C9"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E01E" w14:textId="77777777" w:rsidR="006A40C9" w:rsidRPr="006A40C9" w:rsidRDefault="006A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ПРИХОДИ ИЗ БУЏЕТА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D4AF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sr-Latn-ME"/>
              </w:rPr>
            </w:pPr>
            <w:r w:rsidRPr="006A40C9">
              <w:rPr>
                <w:rFonts w:ascii="Times New Roman" w:hAnsi="Times New Roman" w:cs="Times New Roman"/>
                <w:bCs/>
                <w:sz w:val="28"/>
                <w:szCs w:val="28"/>
                <w:lang w:val="sr-Latn-ME"/>
              </w:rPr>
              <w:t>769 530,00</w:t>
            </w:r>
          </w:p>
        </w:tc>
      </w:tr>
      <w:tr w:rsidR="006A40C9" w:rsidRPr="006A40C9" w14:paraId="6807F8A2" w14:textId="77777777" w:rsidTr="006A40C9"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6B7D" w14:textId="77777777" w:rsidR="006A40C9" w:rsidRPr="006A40C9" w:rsidRDefault="006A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ПРИХОДИ ОД ДОНАЦИЈА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5AED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20 000,00</w:t>
            </w:r>
          </w:p>
        </w:tc>
      </w:tr>
      <w:tr w:rsidR="006A40C9" w:rsidRPr="006A40C9" w14:paraId="2B1D8A62" w14:textId="77777777" w:rsidTr="006A40C9"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4F96" w14:textId="77777777" w:rsidR="006A40C9" w:rsidRPr="006A40C9" w:rsidRDefault="006A4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ПРИХОДИ ИЗ СОПСТВЕНИХ ДЈЕЛАТНОСТИ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D881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30 000,00</w:t>
            </w:r>
          </w:p>
        </w:tc>
      </w:tr>
      <w:tr w:rsidR="006A40C9" w:rsidRPr="006A40C9" w14:paraId="4FABB078" w14:textId="77777777" w:rsidTr="006A40C9"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89F3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Latn-CS"/>
              </w:rPr>
              <w:t>УКУПНО: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F989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Latn-CS"/>
              </w:rPr>
              <w:t>819 530,00</w:t>
            </w:r>
          </w:p>
        </w:tc>
      </w:tr>
    </w:tbl>
    <w:p w14:paraId="089DD22D" w14:textId="77777777" w:rsidR="006A40C9" w:rsidRPr="006A40C9" w:rsidRDefault="006A40C9" w:rsidP="006A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14:paraId="2994AF03" w14:textId="77777777" w:rsidR="006A40C9" w:rsidRPr="006A40C9" w:rsidRDefault="006A40C9" w:rsidP="006A40C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</w:pPr>
      <w:r w:rsidRPr="006A40C9">
        <w:rPr>
          <w:rFonts w:ascii="Times New Roman" w:hAnsi="Times New Roman" w:cs="Times New Roman"/>
          <w:b/>
          <w:bCs/>
          <w:iCs/>
          <w:sz w:val="28"/>
          <w:szCs w:val="28"/>
          <w:lang w:val="sr-Cyrl-ME"/>
        </w:rPr>
        <w:t>РАСХОДИ</w:t>
      </w:r>
      <w:r w:rsidRPr="006A40C9">
        <w:rPr>
          <w:rFonts w:ascii="Times New Roman" w:hAnsi="Times New Roman" w:cs="Times New Roman"/>
          <w:b/>
          <w:bCs/>
          <w:iCs/>
          <w:sz w:val="28"/>
          <w:szCs w:val="28"/>
          <w:lang w:val="sr-Latn-CS"/>
        </w:rPr>
        <w:t>:</w:t>
      </w:r>
    </w:p>
    <w:p w14:paraId="62AB113D" w14:textId="77777777" w:rsidR="006A40C9" w:rsidRPr="006A40C9" w:rsidRDefault="006A40C9" w:rsidP="006A40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CS"/>
        </w:rPr>
      </w:pP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9"/>
        <w:gridCol w:w="1889"/>
      </w:tblGrid>
      <w:tr w:rsidR="006A40C9" w:rsidRPr="006A40C9" w14:paraId="76181A57" w14:textId="77777777" w:rsidTr="006A40C9">
        <w:trPr>
          <w:trHeight w:val="313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2C0C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БРУТО ЗАРАДЕ ЗАПОСЛЕНИХ</w:t>
            </w: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2024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AEDD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580 000,00</w:t>
            </w:r>
          </w:p>
        </w:tc>
      </w:tr>
      <w:tr w:rsidR="006A40C9" w:rsidRPr="006A40C9" w14:paraId="022A1662" w14:textId="77777777" w:rsidTr="006A40C9">
        <w:trPr>
          <w:trHeight w:val="1395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7571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ПРОГРАМСКЕ АКТИВНОСТИ</w:t>
            </w:r>
          </w:p>
          <w:p w14:paraId="3A213104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(</w:t>
            </w: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Продукцијска и издавачка дјелатности</w:t>
            </w: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)</w:t>
            </w:r>
          </w:p>
          <w:p w14:paraId="26622C70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-</w:t>
            </w: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Средства из Буџета Општине</w:t>
            </w: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(програмске активности 2024)</w:t>
            </w:r>
          </w:p>
          <w:p w14:paraId="1F4F9131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Сопствени приходи и донације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C9BC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14:paraId="70250F54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</w:t>
            </w:r>
          </w:p>
          <w:p w14:paraId="58CA0825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70 000,00</w:t>
            </w:r>
          </w:p>
          <w:p w14:paraId="59A74C61" w14:textId="77777777" w:rsidR="006A40C9" w:rsidRPr="006A40C9" w:rsidRDefault="006A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      50 000,00</w:t>
            </w:r>
          </w:p>
        </w:tc>
      </w:tr>
      <w:tr w:rsidR="006A40C9" w:rsidRPr="006A40C9" w14:paraId="2796B615" w14:textId="77777777" w:rsidTr="006A40C9">
        <w:trPr>
          <w:trHeight w:val="458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6BB8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КОМУНАЛНИ ИЗДАЦИ</w:t>
            </w:r>
          </w:p>
          <w:p w14:paraId="35963B94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(Средства из Буџета Општине</w:t>
            </w: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5D0D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40 000,00</w:t>
            </w:r>
          </w:p>
        </w:tc>
      </w:tr>
      <w:tr w:rsidR="006A40C9" w:rsidRPr="006A40C9" w14:paraId="5E069F69" w14:textId="77777777" w:rsidTr="006A40C9">
        <w:trPr>
          <w:trHeight w:val="313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0EDB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0C9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НАКНАДЕ ЧЛАНОВИМА ПОЗОРИШНОГ САВЈЕТА</w:t>
            </w:r>
            <w:r w:rsidRPr="006A40C9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CF7B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bCs/>
                <w:sz w:val="28"/>
                <w:szCs w:val="28"/>
                <w:lang w:val="sr-Latn-CS"/>
              </w:rPr>
              <w:t>4 530,00</w:t>
            </w:r>
          </w:p>
        </w:tc>
      </w:tr>
      <w:tr w:rsidR="006A40C9" w:rsidRPr="006A40C9" w14:paraId="5C973A1F" w14:textId="77777777" w:rsidTr="006A40C9">
        <w:trPr>
          <w:trHeight w:val="433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778E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r-Cyrl-ME"/>
              </w:rPr>
            </w:pPr>
            <w:r w:rsidRPr="006A40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r-Cyrl-ME"/>
              </w:rPr>
              <w:t>ТРАНСФЕР</w:t>
            </w:r>
            <w:r w:rsidRPr="006A40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r-Latn-CS"/>
              </w:rPr>
              <w:t xml:space="preserve"> ЗА ЗИМНИЦУ И ДР</w:t>
            </w:r>
            <w:r w:rsidRPr="006A40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r-Cyrl-ME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5875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r-Latn-CS"/>
              </w:rPr>
              <w:t>20 000,00</w:t>
            </w:r>
          </w:p>
        </w:tc>
      </w:tr>
      <w:tr w:rsidR="006A40C9" w:rsidRPr="006A40C9" w14:paraId="70100820" w14:textId="77777777" w:rsidTr="006A40C9">
        <w:trPr>
          <w:trHeight w:val="403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DAB41" w14:textId="77777777" w:rsidR="006A40C9" w:rsidRPr="006A40C9" w:rsidRDefault="006A4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Cyrl-ME"/>
              </w:rPr>
            </w:pPr>
            <w:r w:rsidRPr="006A40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r-Cyrl-ME"/>
              </w:rPr>
              <w:t xml:space="preserve">ОТПЛАТА ДУГА ИЗ ПРЕТХОДНОГ ПЕРИОДА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F96FC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r-Latn-CS"/>
              </w:rPr>
              <w:t>55 000,00</w:t>
            </w:r>
          </w:p>
        </w:tc>
      </w:tr>
      <w:tr w:rsidR="006A40C9" w:rsidRPr="006A40C9" w14:paraId="452DB395" w14:textId="77777777" w:rsidTr="006A40C9">
        <w:trPr>
          <w:trHeight w:val="305"/>
        </w:trPr>
        <w:tc>
          <w:tcPr>
            <w:tcW w:w="77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6C7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Cyrl-ME"/>
              </w:rPr>
              <w:t>УКУПНО</w:t>
            </w:r>
            <w:r w:rsidRPr="006A40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Latn-CS"/>
              </w:rPr>
              <w:t>: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784C" w14:textId="77777777" w:rsidR="006A40C9" w:rsidRPr="006A40C9" w:rsidRDefault="006A40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Latn-CS"/>
              </w:rPr>
            </w:pPr>
            <w:r w:rsidRPr="006A40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r-Latn-CS"/>
              </w:rPr>
              <w:t>819 530,00</w:t>
            </w:r>
          </w:p>
        </w:tc>
      </w:tr>
    </w:tbl>
    <w:p w14:paraId="054F28E9" w14:textId="77777777" w:rsidR="006A40C9" w:rsidRPr="006A40C9" w:rsidRDefault="006A40C9" w:rsidP="006A4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14:paraId="48E12B97" w14:textId="77777777" w:rsidR="006A40C9" w:rsidRPr="006A40C9" w:rsidRDefault="006A40C9" w:rsidP="006A4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40C9">
        <w:rPr>
          <w:rFonts w:ascii="Times New Roman" w:hAnsi="Times New Roman" w:cs="Times New Roman"/>
          <w:b/>
          <w:sz w:val="28"/>
          <w:szCs w:val="28"/>
        </w:rPr>
        <w:t>Образложење</w:t>
      </w:r>
      <w:proofErr w:type="spellEnd"/>
      <w:r w:rsidRPr="006A4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b/>
          <w:sz w:val="28"/>
          <w:szCs w:val="28"/>
        </w:rPr>
        <w:t>преноса</w:t>
      </w:r>
      <w:proofErr w:type="spellEnd"/>
      <w:r w:rsidRPr="006A4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b/>
          <w:sz w:val="28"/>
          <w:szCs w:val="28"/>
        </w:rPr>
        <w:t>средстава</w:t>
      </w:r>
      <w:proofErr w:type="spellEnd"/>
      <w:r w:rsidRPr="006A40C9">
        <w:rPr>
          <w:rFonts w:ascii="Times New Roman" w:hAnsi="Times New Roman" w:cs="Times New Roman"/>
          <w:b/>
          <w:sz w:val="28"/>
          <w:szCs w:val="28"/>
        </w:rPr>
        <w:t>:</w:t>
      </w:r>
    </w:p>
    <w:p w14:paraId="01521B7F" w14:textId="77777777" w:rsidR="006A40C9" w:rsidRPr="006A40C9" w:rsidRDefault="006A40C9" w:rsidP="006A4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Укупни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>Б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уџета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Никшић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износи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b/>
          <w:sz w:val="28"/>
          <w:szCs w:val="28"/>
          <w:lang w:val="sr-Cyrl-ME"/>
        </w:rPr>
        <w:t>769 530</w:t>
      </w:r>
      <w:proofErr w:type="gramStart"/>
      <w:r w:rsidRPr="006A40C9">
        <w:rPr>
          <w:rFonts w:ascii="Times New Roman" w:hAnsi="Times New Roman" w:cs="Times New Roman"/>
          <w:b/>
          <w:sz w:val="28"/>
          <w:szCs w:val="28"/>
          <w:lang w:val="sr-Cyrl-ME"/>
        </w:rPr>
        <w:t>,00</w:t>
      </w:r>
      <w:proofErr w:type="gramEnd"/>
      <w:r w:rsidRPr="006A40C9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</w:t>
      </w:r>
      <w:proofErr w:type="spellStart"/>
      <w:r w:rsidRPr="006A40C9">
        <w:rPr>
          <w:rFonts w:ascii="Times New Roman" w:hAnsi="Times New Roman" w:cs="Times New Roman"/>
          <w:b/>
          <w:sz w:val="28"/>
          <w:szCs w:val="28"/>
        </w:rPr>
        <w:t>еура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овог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износа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планира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пренос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>:</w:t>
      </w:r>
    </w:p>
    <w:p w14:paraId="45F5903B" w14:textId="1669AB74" w:rsidR="006A40C9" w:rsidRPr="006A40C9" w:rsidRDefault="006A40C9" w:rsidP="006A4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0C9">
        <w:rPr>
          <w:rFonts w:ascii="Times New Roman" w:hAnsi="Times New Roman" w:cs="Times New Roman"/>
          <w:sz w:val="28"/>
          <w:szCs w:val="28"/>
        </w:rPr>
        <w:t>-</w:t>
      </w:r>
      <w:r w:rsidR="003B7447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proofErr w:type="spellStart"/>
      <w:proofErr w:type="gramStart"/>
      <w:r w:rsidRPr="006A40C9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бруто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зараде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запослених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b/>
          <w:sz w:val="28"/>
          <w:szCs w:val="28"/>
        </w:rPr>
        <w:t>580 000,00</w:t>
      </w:r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b/>
          <w:sz w:val="28"/>
          <w:szCs w:val="28"/>
        </w:rPr>
        <w:t>еура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исте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планиране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једанаест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мјесеци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202</w:t>
      </w:r>
      <w:r w:rsidR="00BC7B92">
        <w:rPr>
          <w:rFonts w:ascii="Times New Roman" w:hAnsi="Times New Roman" w:cs="Times New Roman"/>
          <w:sz w:val="28"/>
          <w:szCs w:val="28"/>
          <w:lang w:val="sr-Cyrl-ME"/>
        </w:rPr>
        <w:t>4</w:t>
      </w:r>
      <w:r w:rsidRPr="006A4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A40C9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proofErr w:type="gramEnd"/>
      <w:r w:rsidRPr="006A40C9">
        <w:rPr>
          <w:rFonts w:ascii="Times New Roman" w:hAnsi="Times New Roman" w:cs="Times New Roman"/>
          <w:sz w:val="28"/>
          <w:szCs w:val="28"/>
        </w:rPr>
        <w:t xml:space="preserve"> (56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запослених</w:t>
      </w:r>
      <w:proofErr w:type="spellEnd"/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Pr="006A40C9">
        <w:rPr>
          <w:rFonts w:ascii="Times New Roman" w:hAnsi="Times New Roman" w:cs="Times New Roman"/>
          <w:sz w:val="28"/>
          <w:szCs w:val="28"/>
        </w:rPr>
        <w:t>);</w:t>
      </w:r>
    </w:p>
    <w:p w14:paraId="78AB1101" w14:textId="1DC25EEF" w:rsidR="006A40C9" w:rsidRPr="006A40C9" w:rsidRDefault="006A40C9" w:rsidP="006A4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6A40C9">
        <w:rPr>
          <w:rFonts w:ascii="Times New Roman" w:hAnsi="Times New Roman" w:cs="Times New Roman"/>
          <w:sz w:val="28"/>
          <w:szCs w:val="28"/>
        </w:rPr>
        <w:t>-</w:t>
      </w:r>
      <w:r w:rsidR="003B7447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proofErr w:type="spellStart"/>
      <w:proofErr w:type="gramStart"/>
      <w:r w:rsidRPr="006A40C9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име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програмских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2024</w:t>
      </w:r>
      <w:r w:rsidR="00BC7B92">
        <w:rPr>
          <w:rFonts w:ascii="Times New Roman" w:hAnsi="Times New Roman" w:cs="Times New Roman"/>
          <w:sz w:val="28"/>
          <w:szCs w:val="28"/>
          <w:lang w:val="sr-Cyrl-ME"/>
        </w:rPr>
        <w:t>.</w:t>
      </w:r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40C9">
        <w:rPr>
          <w:rFonts w:ascii="Times New Roman" w:hAnsi="Times New Roman" w:cs="Times New Roman"/>
          <w:sz w:val="28"/>
          <w:szCs w:val="28"/>
        </w:rPr>
        <w:t>планирано</w:t>
      </w:r>
      <w:proofErr w:type="spellEnd"/>
      <w:proofErr w:type="gram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b/>
          <w:sz w:val="28"/>
          <w:szCs w:val="28"/>
        </w:rPr>
        <w:t xml:space="preserve">70 000,00 </w:t>
      </w:r>
      <w:proofErr w:type="spellStart"/>
      <w:r w:rsidRPr="006A40C9">
        <w:rPr>
          <w:rFonts w:ascii="Times New Roman" w:hAnsi="Times New Roman" w:cs="Times New Roman"/>
          <w:b/>
          <w:sz w:val="28"/>
          <w:szCs w:val="28"/>
        </w:rPr>
        <w:t>еура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комуналних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услуга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b/>
          <w:sz w:val="28"/>
          <w:szCs w:val="28"/>
        </w:rPr>
        <w:t xml:space="preserve">40 000,00 </w:t>
      </w:r>
      <w:proofErr w:type="spellStart"/>
      <w:r w:rsidRPr="006A40C9">
        <w:rPr>
          <w:rFonts w:ascii="Times New Roman" w:hAnsi="Times New Roman" w:cs="Times New Roman"/>
          <w:b/>
          <w:sz w:val="28"/>
          <w:szCs w:val="28"/>
        </w:rPr>
        <w:t>еура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надокнаде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члановима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Савјета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b/>
          <w:sz w:val="28"/>
          <w:szCs w:val="28"/>
        </w:rPr>
        <w:t xml:space="preserve">4 530,00 </w:t>
      </w:r>
      <w:proofErr w:type="spellStart"/>
      <w:r w:rsidRPr="006A40C9">
        <w:rPr>
          <w:rFonts w:ascii="Times New Roman" w:hAnsi="Times New Roman" w:cs="Times New Roman"/>
          <w:b/>
          <w:sz w:val="28"/>
          <w:szCs w:val="28"/>
        </w:rPr>
        <w:t>еура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зимницу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и 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>др</w:t>
      </w:r>
      <w:r w:rsidR="00BC7B92">
        <w:rPr>
          <w:rFonts w:ascii="Times New Roman" w:hAnsi="Times New Roman" w:cs="Times New Roman"/>
          <w:sz w:val="28"/>
          <w:szCs w:val="28"/>
          <w:lang w:val="sr-Cyrl-ME"/>
        </w:rPr>
        <w:t>.</w:t>
      </w:r>
      <w:r w:rsidRPr="006A40C9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Pr="006A40C9">
        <w:rPr>
          <w:rFonts w:ascii="Times New Roman" w:hAnsi="Times New Roman" w:cs="Times New Roman"/>
          <w:b/>
          <w:sz w:val="28"/>
          <w:szCs w:val="28"/>
        </w:rPr>
        <w:t>20 000</w:t>
      </w:r>
      <w:proofErr w:type="gramStart"/>
      <w:r w:rsidRPr="006A40C9">
        <w:rPr>
          <w:rFonts w:ascii="Times New Roman" w:hAnsi="Times New Roman" w:cs="Times New Roman"/>
          <w:b/>
          <w:sz w:val="28"/>
          <w:szCs w:val="28"/>
        </w:rPr>
        <w:t>,00</w:t>
      </w:r>
      <w:proofErr w:type="gramEnd"/>
      <w:r w:rsidRPr="006A40C9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</w:t>
      </w:r>
      <w:proofErr w:type="spellStart"/>
      <w:r w:rsidRPr="006A40C9">
        <w:rPr>
          <w:rFonts w:ascii="Times New Roman" w:hAnsi="Times New Roman" w:cs="Times New Roman"/>
          <w:b/>
          <w:sz w:val="28"/>
          <w:szCs w:val="28"/>
        </w:rPr>
        <w:t>еура</w:t>
      </w:r>
      <w:proofErr w:type="spellEnd"/>
      <w:r w:rsidRPr="006A40C9">
        <w:rPr>
          <w:rFonts w:ascii="Times New Roman" w:hAnsi="Times New Roman" w:cs="Times New Roman"/>
          <w:sz w:val="28"/>
          <w:szCs w:val="28"/>
          <w:lang w:val="sr-Cyrl-ME"/>
        </w:rPr>
        <w:t>;</w:t>
      </w:r>
    </w:p>
    <w:p w14:paraId="55B85C68" w14:textId="09402A50" w:rsidR="006A40C9" w:rsidRPr="006A40C9" w:rsidRDefault="006A40C9" w:rsidP="006A4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0C9">
        <w:rPr>
          <w:rFonts w:ascii="Times New Roman" w:hAnsi="Times New Roman" w:cs="Times New Roman"/>
          <w:sz w:val="28"/>
          <w:szCs w:val="28"/>
        </w:rPr>
        <w:t>-</w:t>
      </w:r>
      <w:r w:rsidR="003B7447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proofErr w:type="spellStart"/>
      <w:proofErr w:type="gramStart"/>
      <w:r w:rsidRPr="006A40C9">
        <w:rPr>
          <w:rFonts w:ascii="Times New Roman" w:hAnsi="Times New Roman" w:cs="Times New Roman"/>
          <w:sz w:val="28"/>
          <w:szCs w:val="28"/>
        </w:rPr>
        <w:t>бруто</w:t>
      </w:r>
      <w:proofErr w:type="spellEnd"/>
      <w:proofErr w:type="gram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зарада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децембар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2023. </w:t>
      </w:r>
      <w:proofErr w:type="spellStart"/>
      <w:proofErr w:type="gramStart"/>
      <w:r w:rsidRPr="006A40C9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6A4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b/>
          <w:sz w:val="28"/>
          <w:szCs w:val="28"/>
        </w:rPr>
        <w:t xml:space="preserve">52 000,00 </w:t>
      </w:r>
      <w:proofErr w:type="spellStart"/>
      <w:r w:rsidRPr="006A40C9">
        <w:rPr>
          <w:rFonts w:ascii="Times New Roman" w:hAnsi="Times New Roman" w:cs="Times New Roman"/>
          <w:b/>
          <w:sz w:val="28"/>
          <w:szCs w:val="28"/>
        </w:rPr>
        <w:t>еура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планирана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отплати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обавеза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претходног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периода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издаци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комуналне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дванаести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мјесец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2023. </w:t>
      </w:r>
      <w:proofErr w:type="spellStart"/>
      <w:proofErr w:type="gramStart"/>
      <w:r w:rsidRPr="006A40C9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6A4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C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 xml:space="preserve"> </w:t>
      </w:r>
      <w:r w:rsidRPr="006A40C9">
        <w:rPr>
          <w:rFonts w:ascii="Times New Roman" w:hAnsi="Times New Roman" w:cs="Times New Roman"/>
          <w:b/>
          <w:sz w:val="28"/>
          <w:szCs w:val="28"/>
        </w:rPr>
        <w:t xml:space="preserve">3 000,00 </w:t>
      </w:r>
      <w:proofErr w:type="spellStart"/>
      <w:r w:rsidRPr="006A40C9">
        <w:rPr>
          <w:rFonts w:ascii="Times New Roman" w:hAnsi="Times New Roman" w:cs="Times New Roman"/>
          <w:b/>
          <w:sz w:val="28"/>
          <w:szCs w:val="28"/>
        </w:rPr>
        <w:t>еура</w:t>
      </w:r>
      <w:proofErr w:type="spellEnd"/>
      <w:r w:rsidRPr="006A40C9">
        <w:rPr>
          <w:rFonts w:ascii="Times New Roman" w:hAnsi="Times New Roman" w:cs="Times New Roman"/>
          <w:sz w:val="28"/>
          <w:szCs w:val="28"/>
        </w:rPr>
        <w:t>.</w:t>
      </w:r>
    </w:p>
    <w:p w14:paraId="36467754" w14:textId="77777777" w:rsidR="003B7447" w:rsidRDefault="003B7447" w:rsidP="003B7447">
      <w:pPr>
        <w:jc w:val="center"/>
        <w:rPr>
          <w:sz w:val="24"/>
          <w:szCs w:val="24"/>
          <w:lang w:val="sr-Cyrl-RS"/>
        </w:rPr>
      </w:pPr>
    </w:p>
    <w:p w14:paraId="2D2A2894" w14:textId="26A22A88" w:rsidR="003B7447" w:rsidRPr="00C35572" w:rsidRDefault="003B7447" w:rsidP="003B744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C35572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Закључак</w:t>
      </w:r>
    </w:p>
    <w:p w14:paraId="45638CFB" w14:textId="77777777" w:rsidR="003B7447" w:rsidRPr="003B7447" w:rsidRDefault="003B7447" w:rsidP="003B7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B7447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14:paraId="17246382" w14:textId="318278EB" w:rsidR="003B7447" w:rsidRPr="003B7447" w:rsidRDefault="003B7447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B7447">
        <w:rPr>
          <w:rFonts w:ascii="Times New Roman" w:hAnsi="Times New Roman" w:cs="Times New Roman"/>
          <w:sz w:val="28"/>
          <w:szCs w:val="28"/>
          <w:lang w:val="sr-Cyrl-RS"/>
        </w:rPr>
        <w:t>Програм рада Јавнe установe Никшићко позориштe за 202</w:t>
      </w:r>
      <w:r w:rsidR="00BC7B92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Pr="003B7447">
        <w:rPr>
          <w:rFonts w:ascii="Times New Roman" w:hAnsi="Times New Roman" w:cs="Times New Roman"/>
          <w:sz w:val="28"/>
          <w:szCs w:val="28"/>
          <w:lang w:val="sr-Cyrl-RS"/>
        </w:rPr>
        <w:t xml:space="preserve">. годину у цјeлини јe заснован на рeалним оквирима кроз којe Никшићко позориштe планира рeализацију скоро 150 програма, чимe ћe сe суштински задовољити јавни интeрeси грађана за позоришним и другим сродним садржајима културe. Сви планирани програми за нарeдну пословну годину рeализоваћe сe кроз пројeкат „Никшићка културна сцeна 2024“. Позориштe ћe на тај начин и даљe бити носилац развоја културe у Никшићу, значајно доприносeћи укупном културном миљeу и унапрeђeњу културнe баштинe града и државe. </w:t>
      </w:r>
    </w:p>
    <w:p w14:paraId="6A0A4266" w14:textId="77777777" w:rsidR="003B7447" w:rsidRPr="003B7447" w:rsidRDefault="003B7447" w:rsidP="003B744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B7447">
        <w:rPr>
          <w:rFonts w:ascii="Times New Roman" w:hAnsi="Times New Roman" w:cs="Times New Roman"/>
          <w:sz w:val="28"/>
          <w:szCs w:val="28"/>
          <w:lang w:val="sr-Cyrl-RS"/>
        </w:rPr>
        <w:t>Сeгмeнти Програма рада Јавнe установe Никшићко позориштe за 2024. годину показују потпуну оправданост прeдложeног Плана јeр ћe оставити трајан пeчат у црногорском позоришном стваралаштву и прeзeнтацији Никшића и Црнe Горe.</w:t>
      </w:r>
    </w:p>
    <w:p w14:paraId="0471BBEA" w14:textId="43893E6F" w:rsidR="008D1734" w:rsidRPr="009A7440" w:rsidRDefault="008D1734" w:rsidP="009A7440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ME"/>
        </w:rPr>
      </w:pPr>
      <w:r w:rsidRPr="008D1734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bookmarkStart w:id="0" w:name="_GoBack"/>
      <w:bookmarkEnd w:id="0"/>
    </w:p>
    <w:p w14:paraId="1A42A8B2" w14:textId="77777777" w:rsidR="008D1734" w:rsidRPr="008D1734" w:rsidRDefault="008D1734" w:rsidP="008D1734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sz w:val="24"/>
          <w:szCs w:val="24"/>
        </w:rPr>
      </w:pPr>
      <w:r w:rsidRPr="008D1734">
        <w:rPr>
          <w:rFonts w:ascii="Segoe UI" w:eastAsia="Times New Roman" w:hAnsi="Segoe UI" w:cs="Segoe UI"/>
          <w:sz w:val="24"/>
          <w:szCs w:val="24"/>
        </w:rPr>
        <w:t> </w:t>
      </w:r>
    </w:p>
    <w:p w14:paraId="3FD44F88" w14:textId="77777777" w:rsidR="00DE2E30" w:rsidRPr="00615012" w:rsidRDefault="008D1734" w:rsidP="00DE2E30">
      <w:pPr>
        <w:shd w:val="clear" w:color="auto" w:fill="FCFCFC"/>
        <w:spacing w:before="100" w:beforeAutospacing="1" w:after="100" w:afterAutospacing="1" w:line="360" w:lineRule="atLeast"/>
        <w:rPr>
          <w:rFonts w:ascii="Segoe UI" w:eastAsia="Times New Roman" w:hAnsi="Segoe UI" w:cs="Segoe UI"/>
          <w:sz w:val="24"/>
          <w:szCs w:val="24"/>
        </w:rPr>
      </w:pPr>
      <w:r w:rsidRPr="008D1734">
        <w:rPr>
          <w:rFonts w:ascii="Segoe UI" w:eastAsia="Times New Roman" w:hAnsi="Segoe UI" w:cs="Segoe UI"/>
          <w:sz w:val="24"/>
          <w:szCs w:val="24"/>
        </w:rPr>
        <w:t> </w:t>
      </w:r>
      <w:r w:rsidR="00DE2E30" w:rsidRPr="008D1734">
        <w:rPr>
          <w:rFonts w:ascii="Times New Roman" w:eastAsia="Times New Roman" w:hAnsi="Times New Roman" w:cs="Times New Roman"/>
          <w:sz w:val="28"/>
          <w:szCs w:val="28"/>
          <w:lang w:val="sr-Latn-RS"/>
        </w:rPr>
        <w:t>                                                                                        Д И Р Е К Т О Р</w:t>
      </w:r>
    </w:p>
    <w:p w14:paraId="4EFBFB22" w14:textId="77777777" w:rsidR="00DE2E30" w:rsidRPr="00615012" w:rsidRDefault="00DE2E30" w:rsidP="00DE2E30">
      <w:pPr>
        <w:ind w:left="2832"/>
      </w:pPr>
      <w:r w:rsidRPr="00615012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Pr="00615012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Pr="00615012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Pr="00615012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Pr="00615012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Pr="00615012">
        <w:rPr>
          <w:rFonts w:ascii="Times New Roman" w:hAnsi="Times New Roman" w:cs="Times New Roman"/>
          <w:sz w:val="28"/>
          <w:szCs w:val="28"/>
          <w:lang w:val="sr-Cyrl-ME"/>
        </w:rPr>
        <w:t>Радинко Крулановић, с. р.</w:t>
      </w:r>
    </w:p>
    <w:p w14:paraId="522CA80D" w14:textId="77777777" w:rsidR="001477E2" w:rsidRDefault="001477E2"/>
    <w:sectPr w:rsidR="001477E2" w:rsidSect="00C35572">
      <w:footerReference w:type="default" r:id="rId9"/>
      <w:pgSz w:w="12240" w:h="15840"/>
      <w:pgMar w:top="1440" w:right="1440" w:bottom="1440" w:left="1440" w:header="720" w:footer="720" w:gutter="0"/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9DE34" w14:textId="77777777" w:rsidR="003673BF" w:rsidRDefault="003673BF" w:rsidP="00615012">
      <w:pPr>
        <w:spacing w:after="0" w:line="240" w:lineRule="auto"/>
      </w:pPr>
      <w:r>
        <w:separator/>
      </w:r>
    </w:p>
  </w:endnote>
  <w:endnote w:type="continuationSeparator" w:id="0">
    <w:p w14:paraId="5DE7E108" w14:textId="77777777" w:rsidR="003673BF" w:rsidRDefault="003673BF" w:rsidP="0061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078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1EEE1" w14:textId="35D91A7A" w:rsidR="00C35572" w:rsidRDefault="00C35572">
        <w:pPr>
          <w:pStyle w:val="Footer"/>
          <w:jc w:val="center"/>
        </w:pPr>
        <w:r w:rsidRPr="00DE2E30">
          <w:rPr>
            <w:rFonts w:ascii="Times New Roman" w:hAnsi="Times New Roman" w:cs="Times New Roman"/>
          </w:rPr>
          <w:fldChar w:fldCharType="begin"/>
        </w:r>
        <w:r w:rsidRPr="00DE2E30">
          <w:rPr>
            <w:rFonts w:ascii="Times New Roman" w:hAnsi="Times New Roman" w:cs="Times New Roman"/>
          </w:rPr>
          <w:instrText xml:space="preserve"> PAGE   \* MERGEFORMAT </w:instrText>
        </w:r>
        <w:r w:rsidRPr="00DE2E30">
          <w:rPr>
            <w:rFonts w:ascii="Times New Roman" w:hAnsi="Times New Roman" w:cs="Times New Roman"/>
          </w:rPr>
          <w:fldChar w:fldCharType="separate"/>
        </w:r>
        <w:r w:rsidR="009A7440">
          <w:rPr>
            <w:rFonts w:ascii="Times New Roman" w:hAnsi="Times New Roman" w:cs="Times New Roman"/>
            <w:noProof/>
          </w:rPr>
          <w:t>16</w:t>
        </w:r>
        <w:r w:rsidRPr="00DE2E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041CAB" w14:textId="77777777" w:rsidR="00C35572" w:rsidRDefault="00C35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21BBC" w14:textId="77777777" w:rsidR="003673BF" w:rsidRDefault="003673BF" w:rsidP="00615012">
      <w:pPr>
        <w:spacing w:after="0" w:line="240" w:lineRule="auto"/>
      </w:pPr>
      <w:r>
        <w:separator/>
      </w:r>
    </w:p>
  </w:footnote>
  <w:footnote w:type="continuationSeparator" w:id="0">
    <w:p w14:paraId="63FE850B" w14:textId="77777777" w:rsidR="003673BF" w:rsidRDefault="003673BF" w:rsidP="0061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09CF"/>
    <w:multiLevelType w:val="hybridMultilevel"/>
    <w:tmpl w:val="36E08E8C"/>
    <w:lvl w:ilvl="0" w:tplc="8A5EDA6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B44C4"/>
    <w:multiLevelType w:val="hybridMultilevel"/>
    <w:tmpl w:val="4A40E53E"/>
    <w:lvl w:ilvl="0" w:tplc="BC86E6E4">
      <w:start w:val="30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C143814"/>
    <w:multiLevelType w:val="hybridMultilevel"/>
    <w:tmpl w:val="1D50E8D2"/>
    <w:lvl w:ilvl="0" w:tplc="081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35D02A8B"/>
    <w:multiLevelType w:val="hybridMultilevel"/>
    <w:tmpl w:val="C3DC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53FFD"/>
    <w:multiLevelType w:val="hybridMultilevel"/>
    <w:tmpl w:val="067A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218B5"/>
    <w:multiLevelType w:val="hybridMultilevel"/>
    <w:tmpl w:val="3738AF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5E"/>
    <w:rsid w:val="00070415"/>
    <w:rsid w:val="000958EC"/>
    <w:rsid w:val="001477E2"/>
    <w:rsid w:val="001E36AF"/>
    <w:rsid w:val="003673BF"/>
    <w:rsid w:val="003B7447"/>
    <w:rsid w:val="003B75E9"/>
    <w:rsid w:val="005D5A5E"/>
    <w:rsid w:val="00615012"/>
    <w:rsid w:val="00676F7E"/>
    <w:rsid w:val="006A40C9"/>
    <w:rsid w:val="00866C2A"/>
    <w:rsid w:val="008D1734"/>
    <w:rsid w:val="00974A84"/>
    <w:rsid w:val="009A0B8B"/>
    <w:rsid w:val="009A7440"/>
    <w:rsid w:val="00AE69C5"/>
    <w:rsid w:val="00BC7B92"/>
    <w:rsid w:val="00C35572"/>
    <w:rsid w:val="00DE2E30"/>
    <w:rsid w:val="00E633A9"/>
    <w:rsid w:val="00F5645E"/>
    <w:rsid w:val="00F7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F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5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45E"/>
    <w:pPr>
      <w:ind w:left="720"/>
      <w:contextualSpacing/>
    </w:pPr>
  </w:style>
  <w:style w:type="table" w:styleId="TableGrid">
    <w:name w:val="Table Grid"/>
    <w:basedOn w:val="TableNormal"/>
    <w:uiPriority w:val="59"/>
    <w:rsid w:val="00F564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45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1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4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5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45E"/>
    <w:pPr>
      <w:ind w:left="720"/>
      <w:contextualSpacing/>
    </w:pPr>
  </w:style>
  <w:style w:type="table" w:styleId="TableGrid">
    <w:name w:val="Table Grid"/>
    <w:basedOn w:val="TableNormal"/>
    <w:uiPriority w:val="59"/>
    <w:rsid w:val="00F564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45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1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4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17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Biljana Đurović</cp:lastModifiedBy>
  <cp:revision>6</cp:revision>
  <cp:lastPrinted>2023-12-07T08:39:00Z</cp:lastPrinted>
  <dcterms:created xsi:type="dcterms:W3CDTF">2023-12-05T10:01:00Z</dcterms:created>
  <dcterms:modified xsi:type="dcterms:W3CDTF">2023-12-15T07:32:00Z</dcterms:modified>
</cp:coreProperties>
</file>