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326" w:rsidRDefault="00F14E1D">
      <w:pPr>
        <w:spacing w:after="0"/>
        <w:ind w:right="539"/>
        <w:jc w:val="center"/>
        <w:outlineLvl w:val="0"/>
        <w:rPr>
          <w:b/>
          <w:bCs/>
          <w:sz w:val="44"/>
          <w:szCs w:val="44"/>
          <w:lang w:val="sr-Latn-C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-314325</wp:posOffset>
            </wp:positionV>
            <wp:extent cx="5800725" cy="2647950"/>
            <wp:effectExtent l="0" t="0" r="9525" b="0"/>
            <wp:wrapSquare wrapText="bothSides"/>
            <wp:docPr id="5" name="Picture 5" descr="nkp znak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nkp znak 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326" w:rsidRDefault="00753326">
      <w:pPr>
        <w:spacing w:after="0"/>
        <w:ind w:right="4"/>
        <w:jc w:val="center"/>
        <w:outlineLvl w:val="0"/>
        <w:rPr>
          <w:b/>
          <w:bCs/>
          <w:sz w:val="44"/>
          <w:szCs w:val="44"/>
          <w:lang w:val="sr-Latn-CS"/>
        </w:rPr>
      </w:pPr>
    </w:p>
    <w:p w:rsidR="00753326" w:rsidRDefault="00753326">
      <w:pPr>
        <w:spacing w:after="0"/>
        <w:ind w:left="720" w:right="539"/>
        <w:jc w:val="center"/>
        <w:outlineLvl w:val="0"/>
        <w:rPr>
          <w:b/>
          <w:bCs/>
          <w:sz w:val="44"/>
          <w:szCs w:val="44"/>
          <w:lang w:val="sr-Latn-CS"/>
        </w:rPr>
      </w:pPr>
    </w:p>
    <w:p w:rsidR="00753326" w:rsidRDefault="00753326">
      <w:pPr>
        <w:spacing w:after="0"/>
        <w:ind w:right="539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sr-Cyrl-ME"/>
        </w:rPr>
      </w:pPr>
    </w:p>
    <w:p w:rsidR="00753326" w:rsidRDefault="00753326">
      <w:pPr>
        <w:spacing w:after="0"/>
        <w:ind w:right="539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sr-Cyrl-ME"/>
        </w:rPr>
      </w:pPr>
    </w:p>
    <w:p w:rsidR="00753326" w:rsidRDefault="00F14E1D">
      <w:pPr>
        <w:spacing w:after="0"/>
        <w:ind w:right="539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PROGRAM RADA JAVNE USTANOVE NIKŠIĆKO POZORIŠTE ZA 2026. GODINU</w:t>
      </w:r>
    </w:p>
    <w:p w:rsidR="00753326" w:rsidRDefault="00753326">
      <w:pPr>
        <w:tabs>
          <w:tab w:val="left" w:pos="2325"/>
        </w:tabs>
        <w:spacing w:after="0"/>
        <w:ind w:left="720" w:right="539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sr-Latn-CS"/>
        </w:rPr>
      </w:pPr>
    </w:p>
    <w:p w:rsidR="00753326" w:rsidRDefault="00753326">
      <w:pPr>
        <w:spacing w:after="0"/>
        <w:ind w:left="720" w:right="539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sr-Latn-CS"/>
        </w:rPr>
      </w:pPr>
    </w:p>
    <w:p w:rsidR="00753326" w:rsidRDefault="00753326">
      <w:pPr>
        <w:spacing w:after="0"/>
        <w:ind w:left="720" w:right="539"/>
        <w:jc w:val="center"/>
        <w:outlineLvl w:val="0"/>
        <w:rPr>
          <w:b/>
          <w:bCs/>
          <w:sz w:val="36"/>
          <w:szCs w:val="36"/>
          <w:lang w:val="sr-Latn-CS"/>
        </w:rPr>
      </w:pPr>
    </w:p>
    <w:p w:rsidR="00753326" w:rsidRDefault="00753326">
      <w:pPr>
        <w:spacing w:after="0"/>
        <w:ind w:left="720" w:right="539"/>
        <w:jc w:val="center"/>
        <w:outlineLvl w:val="0"/>
        <w:rPr>
          <w:b/>
          <w:bCs/>
          <w:sz w:val="36"/>
          <w:szCs w:val="36"/>
          <w:lang w:val="sr-Latn-CS"/>
        </w:rPr>
      </w:pPr>
    </w:p>
    <w:p w:rsidR="00753326" w:rsidRDefault="00753326">
      <w:pPr>
        <w:spacing w:after="0"/>
        <w:ind w:left="720" w:right="539"/>
        <w:jc w:val="center"/>
        <w:outlineLvl w:val="0"/>
        <w:rPr>
          <w:b/>
          <w:bCs/>
          <w:sz w:val="36"/>
          <w:szCs w:val="36"/>
          <w:lang w:val="sr-Latn-CS"/>
        </w:rPr>
      </w:pPr>
    </w:p>
    <w:p w:rsidR="00753326" w:rsidRDefault="00753326">
      <w:pPr>
        <w:spacing w:after="0"/>
        <w:ind w:left="720" w:right="539"/>
        <w:jc w:val="center"/>
        <w:outlineLvl w:val="0"/>
        <w:rPr>
          <w:b/>
          <w:bCs/>
          <w:sz w:val="36"/>
          <w:szCs w:val="36"/>
          <w:lang w:val="sr-Latn-CS"/>
        </w:rPr>
      </w:pPr>
    </w:p>
    <w:p w:rsidR="00753326" w:rsidRDefault="00753326">
      <w:pPr>
        <w:spacing w:after="0"/>
        <w:ind w:left="720" w:right="539"/>
        <w:jc w:val="center"/>
        <w:outlineLvl w:val="0"/>
        <w:rPr>
          <w:b/>
          <w:bCs/>
          <w:sz w:val="36"/>
          <w:szCs w:val="36"/>
          <w:lang w:val="sr-Latn-CS"/>
        </w:rPr>
      </w:pPr>
    </w:p>
    <w:p w:rsidR="00753326" w:rsidRDefault="00753326">
      <w:pPr>
        <w:spacing w:after="0"/>
        <w:ind w:left="720" w:right="539"/>
        <w:jc w:val="center"/>
        <w:outlineLvl w:val="0"/>
        <w:rPr>
          <w:b/>
          <w:bCs/>
          <w:sz w:val="36"/>
          <w:szCs w:val="36"/>
          <w:lang w:val="sr-Latn-CS"/>
        </w:rPr>
      </w:pPr>
    </w:p>
    <w:p w:rsidR="00753326" w:rsidRDefault="00753326">
      <w:pPr>
        <w:spacing w:after="0"/>
        <w:ind w:left="720" w:right="539"/>
        <w:jc w:val="center"/>
        <w:outlineLvl w:val="0"/>
        <w:rPr>
          <w:b/>
          <w:bCs/>
          <w:sz w:val="36"/>
          <w:szCs w:val="36"/>
          <w:lang w:val="sr-Latn-CS"/>
        </w:rPr>
      </w:pPr>
    </w:p>
    <w:p w:rsidR="00753326" w:rsidRDefault="00F14E1D">
      <w:pPr>
        <w:tabs>
          <w:tab w:val="left" w:pos="2730"/>
        </w:tabs>
        <w:spacing w:after="0"/>
        <w:ind w:left="720" w:right="539"/>
        <w:outlineLvl w:val="0"/>
        <w:rPr>
          <w:rFonts w:ascii="Times New Roman" w:hAnsi="Times New Roman" w:cs="Times New Roman"/>
          <w:b/>
          <w:bCs/>
          <w:sz w:val="32"/>
          <w:szCs w:val="32"/>
          <w:shd w:val="clear" w:color="auto" w:fill="FCFCFC"/>
          <w:lang w:val="sr-Cyrl-ME"/>
        </w:rPr>
      </w:pPr>
      <w:r>
        <w:rPr>
          <w:b/>
          <w:bCs/>
          <w:sz w:val="36"/>
          <w:szCs w:val="36"/>
          <w:lang w:val="sr-Latn-CS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CFCFC"/>
          <w:lang w:val="sr-Cyrl-ME"/>
        </w:rPr>
        <w:t>Nikšić, decembar 202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CFCFC"/>
          <w:lang w:val="sr-Latn-RS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CFCFC"/>
          <w:lang w:val="sr-Cyrl-ME"/>
        </w:rPr>
        <w:t>. godine</w:t>
      </w:r>
    </w:p>
    <w:p w:rsidR="00753326" w:rsidRDefault="00753326"/>
    <w:p w:rsidR="00753326" w:rsidRDefault="00753326"/>
    <w:p w:rsidR="00753326" w:rsidRDefault="00F14E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Sadržaj:</w:t>
      </w:r>
    </w:p>
    <w:p w:rsidR="00753326" w:rsidRDefault="00F14E1D">
      <w:r>
        <w:t>   </w:t>
      </w:r>
    </w:p>
    <w:p w:rsidR="00753326" w:rsidRDefault="00753326"/>
    <w:p w:rsidR="00753326" w:rsidRDefault="00753326">
      <w:pPr>
        <w:rPr>
          <w:rFonts w:ascii="Times New Roman" w:hAnsi="Times New Roman" w:cs="Times New Roman"/>
          <w:b/>
          <w:sz w:val="32"/>
          <w:szCs w:val="32"/>
        </w:rPr>
      </w:pPr>
    </w:p>
    <w:p w:rsidR="00753326" w:rsidRDefault="00F1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Uvod................................................................................................2</w:t>
      </w:r>
    </w:p>
    <w:p w:rsidR="00753326" w:rsidRDefault="00753326">
      <w:pPr>
        <w:ind w:firstLine="45"/>
        <w:rPr>
          <w:rFonts w:ascii="Times New Roman" w:hAnsi="Times New Roman" w:cs="Times New Roman"/>
          <w:b/>
          <w:sz w:val="32"/>
          <w:szCs w:val="32"/>
        </w:rPr>
      </w:pPr>
    </w:p>
    <w:p w:rsidR="00753326" w:rsidRDefault="00F1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Plan rada umjetničke </w:t>
      </w:r>
      <w:r>
        <w:rPr>
          <w:rFonts w:ascii="Times New Roman" w:hAnsi="Times New Roman" w:cs="Times New Roman"/>
          <w:b/>
          <w:sz w:val="32"/>
          <w:szCs w:val="32"/>
        </w:rPr>
        <w:t>produkcije za 2026. godinu.....................4</w:t>
      </w:r>
    </w:p>
    <w:p w:rsidR="00753326" w:rsidRDefault="00753326">
      <w:pPr>
        <w:ind w:firstLine="45"/>
        <w:rPr>
          <w:rFonts w:ascii="Times New Roman" w:hAnsi="Times New Roman" w:cs="Times New Roman"/>
          <w:b/>
          <w:sz w:val="32"/>
          <w:szCs w:val="32"/>
        </w:rPr>
      </w:pPr>
    </w:p>
    <w:p w:rsidR="00753326" w:rsidRDefault="00F1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22. „Međunarodni festival glumca – Nikšić 2026“......................7</w:t>
      </w:r>
    </w:p>
    <w:p w:rsidR="00753326" w:rsidRDefault="00753326">
      <w:pPr>
        <w:ind w:firstLine="45"/>
        <w:rPr>
          <w:rFonts w:ascii="Times New Roman" w:hAnsi="Times New Roman" w:cs="Times New Roman"/>
          <w:b/>
          <w:sz w:val="32"/>
          <w:szCs w:val="32"/>
        </w:rPr>
      </w:pPr>
    </w:p>
    <w:p w:rsidR="00753326" w:rsidRDefault="00F1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Izdavačka d‌jelatnost......................................................................8</w:t>
      </w:r>
    </w:p>
    <w:p w:rsidR="00753326" w:rsidRDefault="00753326">
      <w:pPr>
        <w:ind w:firstLine="105"/>
        <w:rPr>
          <w:rFonts w:ascii="Times New Roman" w:hAnsi="Times New Roman" w:cs="Times New Roman"/>
          <w:b/>
          <w:sz w:val="32"/>
          <w:szCs w:val="32"/>
        </w:rPr>
      </w:pPr>
    </w:p>
    <w:p w:rsidR="00753326" w:rsidRDefault="00F1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Planirana budžetska sredstva sa kvalifik</w:t>
      </w:r>
      <w:r>
        <w:rPr>
          <w:rFonts w:ascii="Times New Roman" w:hAnsi="Times New Roman" w:cs="Times New Roman"/>
          <w:b/>
          <w:sz w:val="32"/>
          <w:szCs w:val="32"/>
        </w:rPr>
        <w:t>acionom strukturom zaposlenih.....................................................................................10</w:t>
      </w:r>
    </w:p>
    <w:p w:rsidR="00753326" w:rsidRDefault="00753326">
      <w:pPr>
        <w:ind w:firstLine="45"/>
        <w:rPr>
          <w:rFonts w:ascii="Times New Roman" w:hAnsi="Times New Roman" w:cs="Times New Roman"/>
          <w:b/>
          <w:sz w:val="32"/>
          <w:szCs w:val="32"/>
        </w:rPr>
      </w:pPr>
    </w:p>
    <w:p w:rsidR="00753326" w:rsidRDefault="00F1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Finansijski plan za 2026. godinu................................................11</w:t>
      </w:r>
    </w:p>
    <w:p w:rsidR="00753326" w:rsidRDefault="00753326">
      <w:pPr>
        <w:ind w:firstLine="105"/>
        <w:rPr>
          <w:rFonts w:ascii="Times New Roman" w:hAnsi="Times New Roman" w:cs="Times New Roman"/>
          <w:b/>
          <w:sz w:val="32"/>
          <w:szCs w:val="32"/>
        </w:rPr>
      </w:pPr>
    </w:p>
    <w:p w:rsidR="00753326" w:rsidRDefault="00F14E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Zaključak.............................................</w:t>
      </w:r>
      <w:r>
        <w:rPr>
          <w:rFonts w:ascii="Times New Roman" w:hAnsi="Times New Roman" w:cs="Times New Roman"/>
          <w:b/>
          <w:sz w:val="32"/>
          <w:szCs w:val="32"/>
        </w:rPr>
        <w:t>.........................................12</w:t>
      </w:r>
    </w:p>
    <w:p w:rsidR="00753326" w:rsidRDefault="00753326">
      <w:pPr>
        <w:ind w:firstLine="45"/>
        <w:rPr>
          <w:rFonts w:ascii="Times New Roman" w:hAnsi="Times New Roman" w:cs="Times New Roman"/>
          <w:b/>
          <w:sz w:val="32"/>
          <w:szCs w:val="32"/>
        </w:rPr>
      </w:pPr>
    </w:p>
    <w:p w:rsidR="00753326" w:rsidRDefault="00753326"/>
    <w:p w:rsidR="00753326" w:rsidRDefault="00753326"/>
    <w:p w:rsidR="00753326" w:rsidRDefault="00F14E1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Na osnovu člana 26 Zakona o pozorišnoj d‌jelatnosti („Službeni list RCG“, broj 60/01 i „Službeni list CG“, br. 75/10 i 40/11) i člana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stav 1 tačka 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Statuta Javne ustanove Nikšićko pozorište, Rješenja o dav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anju saglasnosti, broj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01-030-364 od 11. 11. 2022.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godine, direktor Javne ustanove Nikšićko pozorište je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05. 12. 20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5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godine,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p r e d l o ž i o</w:t>
      </w:r>
    </w:p>
    <w:p w:rsidR="00753326" w:rsidRDefault="00F14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53326" w:rsidRDefault="00F14E1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PROGRAM RADA</w:t>
      </w:r>
    </w:p>
    <w:p w:rsidR="00753326" w:rsidRDefault="00F14E1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JAVNE USTANOVE NIKŠIĆKO POZORIŠTE</w:t>
      </w:r>
    </w:p>
    <w:p w:rsidR="00753326" w:rsidRDefault="00F14E1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ZA 202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Pr="004F1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GODINU</w:t>
      </w:r>
    </w:p>
    <w:p w:rsidR="00753326" w:rsidRDefault="00F14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53326" w:rsidRDefault="00F14E1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Uvod</w:t>
      </w:r>
    </w:p>
    <w:p w:rsidR="00753326" w:rsidRDefault="00F14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53326" w:rsidRDefault="00F14E1D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Nikšićko pozorište je svoj 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Program rada za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6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godinu pravilo u skladu sa prepoznatim potrebama zajednice i u skladu sa mogućnostima finansiranja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i sa posebnim osvrtom na činjenicu da je Nikšić izabran za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>vropsku prestonicu kulture za 2030. godinu.</w:t>
      </w:r>
    </w:p>
    <w:p w:rsidR="00753326" w:rsidRDefault="00F14E1D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Program rada za narednu 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poslovnu godinu planiran je da svojom koncepcijom značajano doprinese daljem institucionalnom jačanju ustanova kulture sa lokalnog nivoa i njihovoj uspješnijoj međusobnoj saradnji, ali i saradnji sa istim ili srodnim institucijama u Crnoj Gori i regionu.</w:t>
      </w:r>
    </w:p>
    <w:p w:rsidR="00753326" w:rsidRDefault="00F14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Programske aktivnosti odvijaće se kroz redovne mjesečne repertoare iz četiri produkcije: pozorišne, filmske, muzičke i izdavačke. Tom poslovnom politikom, Pozorište će odgovoriti na zahtjeve publike za različitim sadržajima kulture, prije svega u 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oblasti dramske umjetnosti. Istovremeno, tako osmišljenom programskom koncepcijom, Pozorište će nastaviti kontinuitet iz prethodnih godina kada je na godišnjem nivou u prosjeku realizovalo od 130 do 150 sadržaja, kreirati kulturni identitet grada i doprini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jeti aktuelnom kulturološkom identitetu Crne Gore.</w:t>
      </w:r>
    </w:p>
    <w:p w:rsidR="00753326" w:rsidRDefault="00F14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Prioritet u radu biće postavljanje novih pozorišnih predstava za večernju i d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j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ečiju scenu koje će obnavljati i bogatiti produkciju Nikšićkog pozorišta i unapređivati pozorišni i kulturni život u 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gradu, ali i institucionalno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jačati ustanovu u pogledu ostvarivanja cilja transformacije iz producentskog u teatar gradskog tipa sa statusom redovnog repertoarskog pozorišta.</w:t>
      </w:r>
    </w:p>
    <w:p w:rsidR="00753326" w:rsidRDefault="00F14E1D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„Međunarodni festival glumca“ je prepoznatljiv segment produkcije i orijentacije 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Nikšićkog pozorišta, budući da je riječ o jedinstvenoj i jasno profilisanoj pozorišnoj smotri ne samo u Crnoj Gori, već i u zemljama regiona, u kojima nakon dosadašnjih uspješnih izdanja uživa visoku reputaciju i doprinosi ugledu grada Nikšića u najširim o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kvirima.</w:t>
      </w:r>
    </w:p>
    <w:p w:rsidR="00753326" w:rsidRDefault="00F14E1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Projektima izdavačke d‌jelatnosti težićemo da doprinesemo podizanju svijesti o značaju dramske umjetnosti u društvu i približavanju pozorišne produkcije publici, što je bila i ranija praksa zbog čega je Nikšićko pozorište bilo u ravni sa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nacionalnim teatrima u Podgorici i Cetinju.</w:t>
      </w:r>
    </w:p>
    <w:p w:rsidR="00753326" w:rsidRDefault="00F14E1D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Pozorište će kao suorganizator omogućiti i upriličiti i realizaciju drugih sadržaja u saradnji sa pozorišnim i drugim subjektima iz oblasti kulture iz Nikšića, Crne Gore i zemalja regiona, uključujući i NVO sekt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or.</w:t>
      </w:r>
    </w:p>
    <w:p w:rsidR="00753326" w:rsidRDefault="00F14E1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       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Program rada koncipiran je sa ciljem da se ostvari javni interes grada, što se oslanja na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činjenicu da je prethodnih godina rad Pozorišta pratilo oko 40 000 gledalaca godišnje. Realizacija Programom predviđenih planova bazirana je na finansi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jskoj podršci Opštine Nikšić, Ministarstva kulture, kao i iz sopstvenih prihoda.</w:t>
      </w:r>
    </w:p>
    <w:p w:rsidR="00753326" w:rsidRDefault="00F14E1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53326" w:rsidRDefault="00F14E1D">
      <w:pPr>
        <w:spacing w:before="100" w:beforeAutospacing="1" w:after="100" w:afterAutospacing="1" w:line="360" w:lineRule="auto"/>
        <w:jc w:val="center"/>
        <w:rPr>
          <w:rFonts w:ascii="Segoe UI" w:eastAsia="Times New Roman" w:hAnsi="Segoe UI" w:cs="Segoe UI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Cyrl-RS"/>
        </w:rPr>
        <w:t>Plan rada umjetničke produkcije za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Latn-RS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Cyrl-RS"/>
        </w:rPr>
        <w:t>. godinu</w:t>
      </w:r>
    </w:p>
    <w:p w:rsidR="00753326" w:rsidRDefault="00F14E1D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Nikšićko pozorište 2025. godinu završava više nego uspješno. Pozorišnu sezonu smo započeli premijerom predstave „Otac“, po te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kstu savremenog dramskog klasika, francuskog pisca Florijana Zelera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,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i u režiji poznate makedonske rediteljke Nataše Poplavske. U predstavi je okupljen reprezentativni glumački ansambl iz Nikšića i Nikšićkog pozorišta, a predvođen prvakom Narodnog pozorišta iz Beograda Vladanom Gajovićem. Predstava je naišla na izuzetan od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ziv publike, ali i stručne javnosti, te je kao takva imala već pet igranja, sa ambicijom da se pojavi na najznačajnijim scenama i festivalima u regionu. Nedugo poslije premijere naše predstave su selektovane u takmičarski repertoar pozorišnih festivala u K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ragujevcu, Užicu, Podgorici, Istočnom Sarajevu i Smederevu. </w:t>
      </w:r>
    </w:p>
    <w:p w:rsidR="00753326" w:rsidRDefault="00F14E1D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Sa ponosom posebno ističemo da je naša predstava „Heroj nacije“ osvojila šest nagrada na Jugoslovenskom festivalu pozorišta u Užicu, među kojima je i nagrada za najbolju predstavu festivala. Nedu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go poslije toga je i glumac Nikšićkog pozorišta Stevan Vuković na festivalu 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AKADO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 u Podgorici osvojio nagradu za najboljeg glumca festivala igrajući u predstavi „Pluća“ koja je takođe izašla iz naše produkcije.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 Na nedavno završenom 30. Međunarodnom festiv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alu malih scena i monodrame u Istočnom Sarajevu glumac Pavle Bogojević je dobio nagradu za najboljeg glumca festivala za ulogu u predstavi „Kumovi“ u produkciji Nikšićkog pozorišta. </w:t>
      </w:r>
    </w:p>
    <w:p w:rsidR="00753326" w:rsidRPr="004F12C8" w:rsidRDefault="00F14E1D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lastRenderedPageBreak/>
        <w:t>Nedavno završeni dvadeset prvi Međunarodni festival glumca je po kvalitet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u, posjećenosti i po medijskoj propraćenosti ocijenjen najvećim ocjenama od strane stručne javnosti, ali i od publike. Posebn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 pohvale i preporuke smo dobili od strane glumačkih veličina koji su činili stručni žiri našeg festivala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: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 Dare Džokić, Irfana Mens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ura i Slobodana Ninkovića, kao i pozorišnih kritičarki Nataše Gvozdenović i Jelene Perić. Sve navedeno je nesumnjiva potvrda da su svi članovi našeg pozorišta intezivno angažovani i da smo po mnogo čemu nadmašili očekivana dostignuća, odnosno da smo i ove 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godine napravili iskorake koji nam otvaraju mnoga vrata i postavljaju naše pozorište u ravan sa najznačajnijim teatrima južnoslovenskih prostora. No, kako to obično biva, uspjeh nas više obavezuje nego što nas čini zadovoljnima. Kroz pomenute aktivnosti Ni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kšićko pozorište se sprema i već ima jasan plan za nastavak pozorišne sezone u narednoj godini kada planiramo dvije premijere za večernju scenu iz naše produkcije, kao i još jednu kroz koprodukcijsku saradnju. Između pomenutih događanja slijedi nam niz pre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dviđenih gostovanja na scenama širom regiona, konkurišemo i nadamo se učešćima na novim festivalima, obogaćujemo sadržaje scene za djecu, filmske, muzičke i folklorne programe i pom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žemo u organizaciji događaja drugim kulturnim institucijama grada, kao i p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repoznate manifestacije poput „Dana Svetog Vasilija Ostroškog“ i „Septembarskih dana“.</w:t>
      </w:r>
    </w:p>
    <w:p w:rsidR="00753326" w:rsidRPr="004F12C8" w:rsidRDefault="00F14E1D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U sklopu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naših manifestacija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 planirano je da pozovemo i ugostimo brojne značajne zvanice, pozorišne djelatnike, reditelje, glumce, književnike, a nadamo se i državnim fu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nkcionerima. S obzirom na sve intezivniji rad i kontakte planiramo i još bogatiji repertoar po pitanju gostujućih pozorišnih predstava, kao i po pitanju saradnje i razmjene predstava sa drugim teat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r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ima. U tom smislu posebno ističemo uspostavljanje saradnje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 sa Narodnim pozorištem iz Užica, Narodnim pozorištem iz Prištine, Narodnim Pozorištem iz Istočnog Sarajeva i teatrima iz Prilepa i Velesa.</w:t>
      </w:r>
    </w:p>
    <w:p w:rsidR="00753326" w:rsidRDefault="00F14E1D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lastRenderedPageBreak/>
        <w:t>Protekle godine svečanost obilježavanja Dana oslobođenja Nikšića i Septembarske dane naše pozorište je obogatilo pre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mijerom pozorišne predstave. 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Planirali smo da tako bude i naredne godine i da takvu praksu učvrstimo kao tradiciju. I po tom pitanju smo već uspostavili kontakte sa značajnim glumačkim i rediteljskim imenima i nadamo se opet sveobuhvatnoj pomoći od strane 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svih opštinskih struktura. Mislimo da ne treba objašnjavati koliko i takva praksa predstavlja korak naprijed za naš grad u svakom smislu i koliko doprinosi ostvarivanju uspjeha promovisanja Nikšića kao Evropske prestonice kulture za 2030 godinu.</w:t>
      </w:r>
    </w:p>
    <w:tbl>
      <w:tblPr>
        <w:tblpPr w:leftFromText="180" w:rightFromText="180" w:bottomFromText="115" w:vertAnchor="text" w:horzAnchor="margin" w:tblpXSpec="center" w:tblpY="85"/>
        <w:tblW w:w="8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7"/>
        <w:gridCol w:w="2062"/>
      </w:tblGrid>
      <w:tr w:rsidR="00753326">
        <w:trPr>
          <w:trHeight w:val="1008"/>
        </w:trPr>
        <w:tc>
          <w:tcPr>
            <w:tcW w:w="87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center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REDLOG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FINANSIJSKE KONSTRUKCIJE PREMIJERE ZA DVIJE POZORIŠNE PREDSTAVE NA VEČERNJOJ SCENI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  <w:t> ZA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M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  <w:t>. GODINU</w:t>
            </w:r>
          </w:p>
        </w:tc>
      </w:tr>
      <w:tr w:rsidR="00753326">
        <w:trPr>
          <w:trHeight w:val="1040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both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Autorski honorar za tekst i režiju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17.648,36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</w:tr>
      <w:tr w:rsidR="00753326">
        <w:trPr>
          <w:trHeight w:val="720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both"/>
              <w:rPr>
                <w:rFonts w:ascii="Segoe UI" w:eastAsia="Times New Roman" w:hAnsi="Segoe UI" w:cs="Segoe UI"/>
                <w:sz w:val="30"/>
                <w:szCs w:val="3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Autorski honorar za idejna rješenja i izradu scenografije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, rekvizita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17.325,00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</w:tr>
      <w:tr w:rsidR="00753326">
        <w:trPr>
          <w:trHeight w:val="720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both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Autorski honorar za idejna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rješenja kostimografije i izrada kostima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8.400,00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</w:tr>
      <w:tr w:rsidR="00753326">
        <w:trPr>
          <w:trHeight w:val="720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both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Autorski honorar za muziku i studijsko snimanje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3.570,00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</w:tr>
      <w:tr w:rsidR="00753326">
        <w:trPr>
          <w:trHeight w:val="720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both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Honorari glumcima za pripremu predstave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13.673,01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</w:tr>
      <w:tr w:rsidR="00753326">
        <w:trPr>
          <w:trHeight w:val="720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both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Hotelski smještaj i ishrana protagonista predstave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14.700,00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</w:tr>
      <w:tr w:rsidR="00753326">
        <w:trPr>
          <w:trHeight w:val="720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both"/>
              <w:rPr>
                <w:rFonts w:ascii="Segoe UI" w:eastAsia="Times New Roman" w:hAnsi="Segoe UI" w:cs="Segoe UI"/>
                <w:sz w:val="30"/>
                <w:szCs w:val="3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Ostali troškovi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5.250,00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</w:tr>
      <w:tr w:rsidR="00753326">
        <w:trPr>
          <w:trHeight w:val="720"/>
        </w:trPr>
        <w:tc>
          <w:tcPr>
            <w:tcW w:w="6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Ukupno: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100" w:afterAutospacing="1" w:line="360" w:lineRule="atLeast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ME"/>
              </w:rPr>
              <w:t>80.566,37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€</w:t>
            </w:r>
          </w:p>
        </w:tc>
      </w:tr>
    </w:tbl>
    <w:p w:rsidR="00753326" w:rsidRDefault="00753326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sr-Latn-RS"/>
        </w:rPr>
      </w:pPr>
    </w:p>
    <w:tbl>
      <w:tblPr>
        <w:tblpPr w:leftFromText="180" w:rightFromText="180" w:vertAnchor="text" w:horzAnchor="margin" w:tblpXSpec="center" w:tblpY="5618"/>
        <w:tblW w:w="8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7"/>
        <w:gridCol w:w="2535"/>
        <w:gridCol w:w="93"/>
      </w:tblGrid>
      <w:tr w:rsidR="00753326">
        <w:trPr>
          <w:trHeight w:val="20"/>
        </w:trPr>
        <w:tc>
          <w:tcPr>
            <w:tcW w:w="8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/>
              <w:jc w:val="center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FINANSIJSKA KONSTRUKCIJA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M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M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„MEĐUNARODNOG FESTIVALA GLUMCA – NIKŠIĆ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ME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“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3326" w:rsidRDefault="00753326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sz w:val="30"/>
                <w:szCs w:val="30"/>
              </w:rPr>
            </w:pPr>
          </w:p>
        </w:tc>
      </w:tr>
      <w:tr w:rsidR="00753326">
        <w:trPr>
          <w:trHeight w:val="720"/>
        </w:trPr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Festivalski program – repertoar (6 predstava)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37.800,00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93" w:type="dxa"/>
            <w:vAlign w:val="center"/>
          </w:tcPr>
          <w:p w:rsidR="00753326" w:rsidRDefault="00753326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sz w:val="30"/>
                <w:szCs w:val="30"/>
              </w:rPr>
            </w:pPr>
          </w:p>
        </w:tc>
      </w:tr>
      <w:tr w:rsidR="00753326">
        <w:trPr>
          <w:trHeight w:val="720"/>
        </w:trPr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rPr>
                <w:rFonts w:ascii="Segoe UI" w:eastAsia="Times New Roman" w:hAnsi="Segoe UI" w:cs="Segoe UI"/>
                <w:sz w:val="30"/>
                <w:szCs w:val="30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Festivalske nagrad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4.410,00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93" w:type="dxa"/>
            <w:vAlign w:val="center"/>
          </w:tcPr>
          <w:p w:rsidR="00753326" w:rsidRDefault="00753326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sz w:val="30"/>
                <w:szCs w:val="30"/>
              </w:rPr>
            </w:pPr>
          </w:p>
        </w:tc>
      </w:tr>
      <w:tr w:rsidR="00753326">
        <w:trPr>
          <w:trHeight w:val="720"/>
        </w:trPr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Honorari žiriju Festivala, moderatoru…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5.250,00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93" w:type="dxa"/>
            <w:vAlign w:val="center"/>
          </w:tcPr>
          <w:p w:rsidR="00753326" w:rsidRDefault="00753326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sz w:val="30"/>
                <w:szCs w:val="30"/>
              </w:rPr>
            </w:pPr>
          </w:p>
        </w:tc>
      </w:tr>
      <w:tr w:rsidR="00753326">
        <w:trPr>
          <w:trHeight w:val="720"/>
        </w:trPr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Hotelski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smještaj i ishrana učesnika Festivala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18.375,00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93" w:type="dxa"/>
            <w:vAlign w:val="center"/>
          </w:tcPr>
          <w:p w:rsidR="00753326" w:rsidRDefault="00753326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sz w:val="30"/>
                <w:szCs w:val="30"/>
              </w:rPr>
            </w:pPr>
          </w:p>
        </w:tc>
      </w:tr>
      <w:tr w:rsidR="00753326">
        <w:trPr>
          <w:trHeight w:val="720"/>
        </w:trPr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both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Idejno rješenje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vizuelni identitet i štampanje reklamnog materijala,bilteni Festivala i festivalski broj časopisa „Pozorište“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4.725,00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93" w:type="dxa"/>
            <w:vAlign w:val="center"/>
          </w:tcPr>
          <w:p w:rsidR="00753326" w:rsidRDefault="00753326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sz w:val="30"/>
                <w:szCs w:val="30"/>
              </w:rPr>
            </w:pPr>
          </w:p>
        </w:tc>
      </w:tr>
      <w:tr w:rsidR="00753326">
        <w:trPr>
          <w:trHeight w:val="720"/>
        </w:trPr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Prevoz učesnika Festivala (avio i ostali prevozi)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3.150,00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93" w:type="dxa"/>
            <w:vAlign w:val="center"/>
          </w:tcPr>
          <w:p w:rsidR="00753326" w:rsidRDefault="00753326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sz w:val="30"/>
                <w:szCs w:val="30"/>
              </w:rPr>
            </w:pPr>
          </w:p>
        </w:tc>
      </w:tr>
      <w:tr w:rsidR="00753326">
        <w:trPr>
          <w:trHeight w:val="720"/>
        </w:trPr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both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Prateći troškovi (reprezentacija u klubu Pozorišta, troškovi goriva, telefoni...)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2.100,00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93" w:type="dxa"/>
            <w:vAlign w:val="center"/>
          </w:tcPr>
          <w:p w:rsidR="00753326" w:rsidRDefault="00753326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sz w:val="30"/>
                <w:szCs w:val="30"/>
              </w:rPr>
            </w:pPr>
          </w:p>
        </w:tc>
      </w:tr>
      <w:tr w:rsidR="00753326">
        <w:trPr>
          <w:trHeight w:val="720"/>
        </w:trPr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both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Porezi i prirezi na Ugovore o d‌jelu i bankarske provizije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Latn-ME"/>
              </w:rPr>
              <w:t>945,00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€</w:t>
            </w:r>
          </w:p>
        </w:tc>
        <w:tc>
          <w:tcPr>
            <w:tcW w:w="93" w:type="dxa"/>
            <w:vAlign w:val="center"/>
          </w:tcPr>
          <w:p w:rsidR="00753326" w:rsidRDefault="00753326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sz w:val="30"/>
                <w:szCs w:val="30"/>
              </w:rPr>
            </w:pPr>
          </w:p>
        </w:tc>
      </w:tr>
      <w:tr w:rsidR="00753326">
        <w:trPr>
          <w:trHeight w:val="20"/>
        </w:trPr>
        <w:tc>
          <w:tcPr>
            <w:tcW w:w="6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Ukupno: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26" w:rsidRDefault="00F14E1D">
            <w:pPr>
              <w:spacing w:before="100" w:beforeAutospacing="1" w:after="0" w:line="240" w:lineRule="auto"/>
              <w:jc w:val="right"/>
              <w:rPr>
                <w:rFonts w:ascii="Segoe UI" w:eastAsia="Times New Roman" w:hAnsi="Segoe UI" w:cs="Segoe UI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Latn-ME"/>
              </w:rPr>
              <w:t>76.755,00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RS"/>
              </w:rPr>
              <w:t>€</w:t>
            </w:r>
          </w:p>
        </w:tc>
        <w:tc>
          <w:tcPr>
            <w:tcW w:w="93" w:type="dxa"/>
            <w:vAlign w:val="center"/>
          </w:tcPr>
          <w:p w:rsidR="00753326" w:rsidRDefault="00753326">
            <w:pPr>
              <w:spacing w:before="100" w:beforeAutospacing="1" w:after="100" w:afterAutospacing="1" w:line="360" w:lineRule="atLeast"/>
              <w:rPr>
                <w:rFonts w:ascii="Segoe UI" w:eastAsia="Times New Roman" w:hAnsi="Segoe UI" w:cs="Segoe UI"/>
                <w:sz w:val="30"/>
                <w:szCs w:val="30"/>
              </w:rPr>
            </w:pPr>
          </w:p>
        </w:tc>
      </w:tr>
    </w:tbl>
    <w:p w:rsidR="00753326" w:rsidRDefault="00F14E1D">
      <w:pPr>
        <w:spacing w:before="100" w:beforeAutospacing="1" w:after="100" w:afterAutospacing="1" w:line="360" w:lineRule="atLeast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sr-Latn-M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ru-RU"/>
        </w:rPr>
        <w:t>22. „Međunarodni festival glumca – Nikšić 202</w:t>
      </w: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sr-Latn-ME"/>
        </w:rPr>
        <w:t>6“</w:t>
      </w:r>
    </w:p>
    <w:p w:rsidR="00753326" w:rsidRDefault="00F14E1D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Segoe UI" w:eastAsia="Times New Roman" w:hAnsi="Segoe UI" w:cs="Segoe UI"/>
          <w:color w:val="52525B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Vi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>š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od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dvije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decenije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je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na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š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grad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prepoznat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kao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jedinstveno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gluma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>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ko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op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>š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te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umjetni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>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ko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takmičenje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sabirali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>š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te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Za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naredno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izdanje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Me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>đ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unarodnog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festivala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glumca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planirali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smo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izvjesne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promjene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u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na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>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inu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š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irini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selekcije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u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sastavu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Savjeta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na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>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inu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nagra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>đ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ivanja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broju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nagrada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sve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>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anostima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otvaranja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zatvaranja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Festivala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ali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i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uvo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>đ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enje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propratnih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festivalskih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programa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ME"/>
        </w:rPr>
        <w:t xml:space="preserve">. 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No, za te nimalo lake i ozbiljne promjene biće potrebna i veća podrška sa strane. Svakako da ne možemo da se žalimo na pomoć i naklonost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Opštine Nikšić. Naš Festival je već godinama interesantan ljudima i pozorištima daleko van našega grada i on odista jeste postao interes države, pa na osnovu te činjenice očekujemo i veću pažnju sa državnog nivoa. Dijelom smo to učešće ostvarili kroz pokr</w:t>
      </w:r>
      <w:r w:rsidRPr="004F1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oviteljstvo Ministarstva kulture i medija, ali se nadamo da će obim pomoći sa te strane biti i veći i na tome radimo.</w:t>
      </w:r>
    </w:p>
    <w:p w:rsidR="00753326" w:rsidRDefault="00F14E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ME"/>
        </w:rPr>
      </w:pPr>
      <w:r>
        <w:rPr>
          <w:rFonts w:ascii="Times New Roman" w:hAnsi="Times New Roman"/>
          <w:b/>
          <w:sz w:val="28"/>
          <w:szCs w:val="28"/>
          <w:lang w:val="sr-Cyrl-ME"/>
        </w:rPr>
        <w:lastRenderedPageBreak/>
        <w:t>Izdavačka djelatnost</w:t>
      </w:r>
    </w:p>
    <w:p w:rsidR="00753326" w:rsidRDefault="00F14E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ME"/>
        </w:rPr>
      </w:pPr>
      <w:r>
        <w:rPr>
          <w:rFonts w:ascii="Times New Roman" w:hAnsi="Times New Roman"/>
          <w:sz w:val="28"/>
          <w:szCs w:val="28"/>
          <w:lang w:val="sr-Cyrl-ME"/>
        </w:rPr>
        <w:t xml:space="preserve"> </w:t>
      </w:r>
    </w:p>
    <w:p w:rsidR="00753326" w:rsidRDefault="00F14E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ME"/>
        </w:rPr>
      </w:pPr>
      <w:r>
        <w:rPr>
          <w:rFonts w:ascii="Times New Roman" w:hAnsi="Times New Roman"/>
          <w:sz w:val="28"/>
          <w:szCs w:val="28"/>
          <w:lang w:val="sr-Cyrl-ME"/>
        </w:rPr>
        <w:t xml:space="preserve"> </w:t>
      </w:r>
    </w:p>
    <w:p w:rsidR="00753326" w:rsidRDefault="00F14E1D">
      <w:pPr>
        <w:spacing w:line="360" w:lineRule="auto"/>
        <w:jc w:val="both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Cyrl-ME"/>
        </w:rPr>
        <w:tab/>
      </w:r>
      <w:r>
        <w:rPr>
          <w:rFonts w:ascii="Times New Roman" w:hAnsi="Times New Roman"/>
          <w:sz w:val="28"/>
          <w:szCs w:val="28"/>
          <w:lang w:val="sr-Latn-RS"/>
        </w:rPr>
        <w:t xml:space="preserve">Programske aktivnosti </w:t>
      </w:r>
      <w:r>
        <w:rPr>
          <w:rFonts w:ascii="Times New Roman" w:hAnsi="Times New Roman"/>
          <w:sz w:val="28"/>
          <w:szCs w:val="28"/>
          <w:lang w:val="sr-Cyrl-ME"/>
        </w:rPr>
        <w:t>Izdavačke djelatnost</w:t>
      </w:r>
      <w:r>
        <w:rPr>
          <w:rFonts w:ascii="Times New Roman" w:hAnsi="Times New Roman"/>
          <w:sz w:val="28"/>
          <w:szCs w:val="28"/>
          <w:lang w:val="sr-Latn-RS"/>
        </w:rPr>
        <w:t>i</w:t>
      </w:r>
      <w:r>
        <w:rPr>
          <w:rFonts w:ascii="Times New Roman" w:hAnsi="Times New Roman"/>
          <w:sz w:val="28"/>
          <w:szCs w:val="28"/>
          <w:lang w:val="sr-Cyrl-ME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sr-Cyrl-ME"/>
        </w:rPr>
        <w:t>Nikšićkog pozorišta</w:t>
      </w:r>
      <w:r>
        <w:rPr>
          <w:rFonts w:ascii="Times New Roman" w:hAnsi="Times New Roman"/>
          <w:sz w:val="28"/>
          <w:szCs w:val="28"/>
          <w:lang w:val="sr-Latn-RS"/>
        </w:rPr>
        <w:t xml:space="preserve"> za 2026. godinu dio su razvojne strategije matične kuće koja se trudi da ojača standarde savremenog teatra u susret pijedestalu </w:t>
      </w:r>
      <w:r>
        <w:rPr>
          <w:rFonts w:ascii="Times New Roman" w:hAnsi="Times New Roman"/>
          <w:iCs/>
          <w:sz w:val="28"/>
          <w:szCs w:val="28"/>
          <w:lang w:val="sr-Latn-RS"/>
        </w:rPr>
        <w:t>Nikšić 2030 Evropska prestonica kulture</w:t>
      </w:r>
      <w:r>
        <w:rPr>
          <w:rFonts w:ascii="Times New Roman" w:hAnsi="Times New Roman"/>
          <w:i/>
          <w:iCs/>
          <w:sz w:val="28"/>
          <w:szCs w:val="28"/>
          <w:lang w:val="sr-Latn-RS"/>
        </w:rPr>
        <w:t xml:space="preserve">. </w:t>
      </w:r>
      <w:r>
        <w:rPr>
          <w:rFonts w:ascii="Times New Roman" w:hAnsi="Times New Roman"/>
          <w:sz w:val="28"/>
          <w:szCs w:val="28"/>
          <w:lang w:val="sr-Latn-RS"/>
        </w:rPr>
        <w:t xml:space="preserve">Izdavačka </w:t>
      </w:r>
      <w:r>
        <w:rPr>
          <w:rFonts w:ascii="Times New Roman" w:hAnsi="Times New Roman"/>
          <w:sz w:val="28"/>
          <w:szCs w:val="28"/>
          <w:lang w:val="sr-Cyrl-ME"/>
        </w:rPr>
        <w:t>djel</w:t>
      </w:r>
      <w:r>
        <w:rPr>
          <w:rFonts w:ascii="Times New Roman" w:hAnsi="Times New Roman"/>
          <w:sz w:val="28"/>
          <w:szCs w:val="28"/>
          <w:lang w:val="sr-Latn-RS"/>
        </w:rPr>
        <w:t>a</w:t>
      </w:r>
      <w:r>
        <w:rPr>
          <w:rFonts w:ascii="Times New Roman" w:hAnsi="Times New Roman"/>
          <w:sz w:val="28"/>
          <w:szCs w:val="28"/>
          <w:lang w:val="sr-Cyrl-ME"/>
        </w:rPr>
        <w:t xml:space="preserve">tnost </w:t>
      </w:r>
      <w:r>
        <w:rPr>
          <w:rFonts w:ascii="Times New Roman" w:hAnsi="Times New Roman"/>
          <w:iCs/>
          <w:sz w:val="28"/>
          <w:szCs w:val="28"/>
          <w:lang w:val="sr-Cyrl-ME"/>
        </w:rPr>
        <w:t>Nikšićkog pozorišta</w:t>
      </w:r>
      <w:r>
        <w:rPr>
          <w:rFonts w:ascii="Times New Roman" w:hAnsi="Times New Roman"/>
          <w:sz w:val="28"/>
          <w:szCs w:val="28"/>
          <w:lang w:val="sr-Cyrl-ME"/>
        </w:rPr>
        <w:t xml:space="preserve"> će u narednoj godini </w:t>
      </w:r>
      <w:r>
        <w:rPr>
          <w:rFonts w:ascii="Times New Roman" w:hAnsi="Times New Roman"/>
          <w:sz w:val="28"/>
          <w:szCs w:val="28"/>
          <w:lang w:val="sr-Latn-RS"/>
        </w:rPr>
        <w:t>u fokus staviti saradnju</w:t>
      </w:r>
      <w:r>
        <w:rPr>
          <w:rFonts w:ascii="Times New Roman" w:hAnsi="Times New Roman"/>
          <w:sz w:val="28"/>
          <w:szCs w:val="28"/>
          <w:lang w:val="sr-Latn-RS"/>
        </w:rPr>
        <w:t xml:space="preserve"> sa srodnim djelatnostima pozorišnih kuća i ustanova kulture. M</w:t>
      </w:r>
      <w:r>
        <w:rPr>
          <w:rFonts w:ascii="Times New Roman" w:hAnsi="Times New Roman"/>
          <w:sz w:val="28"/>
          <w:szCs w:val="28"/>
          <w:lang w:val="sr-Cyrl-ME"/>
        </w:rPr>
        <w:t xml:space="preserve">odel rada Izdavačke djelatnosti </w:t>
      </w:r>
      <w:r>
        <w:rPr>
          <w:rFonts w:ascii="Times New Roman" w:hAnsi="Times New Roman"/>
          <w:sz w:val="28"/>
          <w:szCs w:val="28"/>
          <w:lang w:val="sr-Latn-RS"/>
        </w:rPr>
        <w:t xml:space="preserve">Pozorišta već je prepoznat u </w:t>
      </w:r>
      <w:r>
        <w:rPr>
          <w:rFonts w:ascii="Times New Roman" w:hAnsi="Times New Roman"/>
          <w:sz w:val="28"/>
          <w:szCs w:val="28"/>
          <w:lang w:val="sr-Cyrl-ME"/>
        </w:rPr>
        <w:t xml:space="preserve">u Crnoj Gori i van njenih granica, što se reflektovalo kroz </w:t>
      </w:r>
      <w:r>
        <w:rPr>
          <w:rFonts w:ascii="Times New Roman" w:hAnsi="Times New Roman"/>
          <w:sz w:val="28"/>
          <w:szCs w:val="28"/>
          <w:lang w:val="sr-Latn-RS"/>
        </w:rPr>
        <w:t xml:space="preserve">dosadašnje </w:t>
      </w:r>
      <w:r>
        <w:rPr>
          <w:rFonts w:ascii="Times New Roman" w:hAnsi="Times New Roman"/>
          <w:sz w:val="28"/>
          <w:szCs w:val="28"/>
          <w:lang w:val="sr-Cyrl-ME"/>
        </w:rPr>
        <w:t>projekte</w:t>
      </w:r>
      <w:r>
        <w:rPr>
          <w:rFonts w:ascii="Times New Roman" w:hAnsi="Times New Roman"/>
          <w:sz w:val="28"/>
          <w:szCs w:val="28"/>
          <w:lang w:val="sr-Latn-RS"/>
        </w:rPr>
        <w:t>, koji su prepoznati od stručne javnosti i Ministarst</w:t>
      </w:r>
      <w:r>
        <w:rPr>
          <w:rFonts w:ascii="Times New Roman" w:hAnsi="Times New Roman"/>
          <w:sz w:val="28"/>
          <w:szCs w:val="28"/>
          <w:lang w:val="sr-Latn-RS"/>
        </w:rPr>
        <w:t xml:space="preserve">va kulture kao naslovi značajni za ostvarivanje javnog interesa u kulturi. </w:t>
      </w:r>
    </w:p>
    <w:p w:rsidR="00753326" w:rsidRDefault="00F14E1D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Latn-RS"/>
        </w:rPr>
        <w:t xml:space="preserve">Izdavačka djelatnost tokom 2026. godine, u saradnji sa Opštinom Nikšić i Ministarstvom kulture i medija, će inicirati izradu projekta </w:t>
      </w:r>
      <w:r>
        <w:rPr>
          <w:rFonts w:ascii="Times New Roman" w:hAnsi="Times New Roman"/>
          <w:i/>
          <w:iCs/>
          <w:sz w:val="28"/>
          <w:szCs w:val="28"/>
          <w:lang w:val="sr-Latn-RS"/>
        </w:rPr>
        <w:t>Pozorišnog instituta i muzeja dramske umjetnos</w:t>
      </w:r>
      <w:r>
        <w:rPr>
          <w:rFonts w:ascii="Times New Roman" w:hAnsi="Times New Roman"/>
          <w:i/>
          <w:iCs/>
          <w:sz w:val="28"/>
          <w:szCs w:val="28"/>
          <w:lang w:val="sr-Latn-RS"/>
        </w:rPr>
        <w:t>ti Crne Gore,</w:t>
      </w:r>
      <w:r>
        <w:rPr>
          <w:rFonts w:ascii="Times New Roman" w:hAnsi="Times New Roman"/>
          <w:sz w:val="28"/>
          <w:szCs w:val="28"/>
          <w:lang w:val="sr-Latn-RS"/>
        </w:rPr>
        <w:t xml:space="preserve"> kao državne  ustanove sa sjedištem  u Nikšiću. Bogatstvo stvaranja i najnoviji uspjesi </w:t>
      </w:r>
      <w:r>
        <w:rPr>
          <w:rFonts w:ascii="Times New Roman" w:hAnsi="Times New Roman"/>
          <w:i/>
          <w:iCs/>
          <w:sz w:val="28"/>
          <w:szCs w:val="28"/>
          <w:lang w:val="sr-Latn-RS"/>
        </w:rPr>
        <w:t>Nikšićkog pozorišta</w:t>
      </w:r>
      <w:r>
        <w:rPr>
          <w:rFonts w:ascii="Times New Roman" w:hAnsi="Times New Roman"/>
          <w:sz w:val="28"/>
          <w:szCs w:val="28"/>
          <w:lang w:val="sr-Latn-RS"/>
        </w:rPr>
        <w:t>, mjereni festivalskim nagradama i gostovanjima obavezuje Izdavačku djelatnost da pored dva naslova koja će iz štape izaći početkom 2026</w:t>
      </w:r>
      <w:r>
        <w:rPr>
          <w:rFonts w:ascii="Times New Roman" w:hAnsi="Times New Roman"/>
          <w:sz w:val="28"/>
          <w:szCs w:val="28"/>
          <w:lang w:val="sr-Latn-RS"/>
        </w:rPr>
        <w:t xml:space="preserve">. godine (monografije </w:t>
      </w:r>
      <w:r>
        <w:rPr>
          <w:rFonts w:ascii="Times New Roman" w:hAnsi="Times New Roman"/>
          <w:i/>
          <w:sz w:val="28"/>
          <w:szCs w:val="28"/>
          <w:lang w:val="sr-Latn-RS"/>
        </w:rPr>
        <w:t>Međunarodni festival glumca</w:t>
      </w:r>
      <w:r>
        <w:rPr>
          <w:rFonts w:ascii="Times New Roman" w:hAnsi="Times New Roman"/>
          <w:sz w:val="28"/>
          <w:szCs w:val="28"/>
          <w:lang w:val="sr-Latn-RS"/>
        </w:rPr>
        <w:t xml:space="preserve"> 1995 – 2025 i </w:t>
      </w:r>
      <w:r>
        <w:rPr>
          <w:rFonts w:ascii="Times New Roman" w:hAnsi="Times New Roman"/>
          <w:i/>
          <w:sz w:val="28"/>
          <w:szCs w:val="28"/>
          <w:lang w:val="sr-Latn-RS"/>
        </w:rPr>
        <w:t>Theatre in Montenegro</w:t>
      </w:r>
      <w:r>
        <w:rPr>
          <w:rFonts w:ascii="Times New Roman" w:hAnsi="Times New Roman"/>
          <w:sz w:val="28"/>
          <w:szCs w:val="28"/>
          <w:lang w:val="sr-Latn-RS"/>
        </w:rPr>
        <w:t xml:space="preserve"> – prevod monografije na engleski jezik </w:t>
      </w:r>
      <w:r>
        <w:rPr>
          <w:rFonts w:ascii="Times New Roman" w:hAnsi="Times New Roman"/>
          <w:i/>
          <w:sz w:val="28"/>
          <w:szCs w:val="28"/>
          <w:lang w:val="sr-Latn-RS"/>
        </w:rPr>
        <w:t>Pozorište u Crnoj Gori</w:t>
      </w:r>
      <w:r>
        <w:rPr>
          <w:rFonts w:ascii="Times New Roman" w:hAnsi="Times New Roman"/>
          <w:sz w:val="28"/>
          <w:szCs w:val="28"/>
          <w:lang w:val="sr-Latn-RS"/>
        </w:rPr>
        <w:t xml:space="preserve"> ), intezivno radi na jačanju postojeće saradnje i iniciranju novih kontakata. U tom dijelu rada predviđeno j</w:t>
      </w:r>
      <w:r>
        <w:rPr>
          <w:rFonts w:ascii="Times New Roman" w:hAnsi="Times New Roman"/>
          <w:sz w:val="28"/>
          <w:szCs w:val="28"/>
          <w:lang w:val="sr-Latn-RS"/>
        </w:rPr>
        <w:t xml:space="preserve">e i skoro formiranje bibliotečke jedinice </w:t>
      </w:r>
      <w:r>
        <w:rPr>
          <w:rFonts w:ascii="Times New Roman" w:hAnsi="Times New Roman"/>
          <w:iCs/>
          <w:sz w:val="28"/>
          <w:szCs w:val="28"/>
          <w:lang w:val="sr-Latn-RS"/>
        </w:rPr>
        <w:t>Nikšićkog pozorišta u okviru Izdavačke djelatnosti</w:t>
      </w:r>
      <w:r>
        <w:rPr>
          <w:rFonts w:ascii="Times New Roman" w:hAnsi="Times New Roman"/>
          <w:sz w:val="28"/>
          <w:szCs w:val="28"/>
          <w:lang w:val="sr-Latn-RS"/>
        </w:rPr>
        <w:t>, čiji će fond biti baziran na domaćoj i svjetskoj dramskoj  književnosti i teatrološkim naslovima. Dva pomenuta izdavačka projekta sufinansiralo je Ministarstvo ku</w:t>
      </w:r>
      <w:r>
        <w:rPr>
          <w:rFonts w:ascii="Times New Roman" w:hAnsi="Times New Roman"/>
          <w:sz w:val="28"/>
          <w:szCs w:val="28"/>
          <w:lang w:val="sr-Latn-RS"/>
        </w:rPr>
        <w:t>lture, ali za njihovu realizaciju neophodno je obezbijediti dodatnih 2 000, 00 eura.</w:t>
      </w:r>
    </w:p>
    <w:p w:rsidR="00753326" w:rsidRDefault="00F14E1D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Cyrl-ME"/>
        </w:rPr>
        <w:lastRenderedPageBreak/>
        <w:t xml:space="preserve">U Programu rada planirano je objavljivanje časopisa Pozorište (četiri broja godišnje) kao jedine publikacije te vrste u </w:t>
      </w:r>
      <w:r>
        <w:rPr>
          <w:rFonts w:ascii="Times New Roman" w:hAnsi="Times New Roman"/>
          <w:sz w:val="28"/>
          <w:szCs w:val="28"/>
          <w:lang w:val="sr-Latn-RS"/>
        </w:rPr>
        <w:t>Crnoj Gori. Imajući u vidu da je ta specijalizovana</w:t>
      </w:r>
      <w:r>
        <w:rPr>
          <w:rFonts w:ascii="Times New Roman" w:hAnsi="Times New Roman"/>
          <w:sz w:val="28"/>
          <w:szCs w:val="28"/>
          <w:lang w:val="sr-Latn-RS"/>
        </w:rPr>
        <w:t xml:space="preserve"> publikacija</w:t>
      </w:r>
      <w:r>
        <w:rPr>
          <w:rFonts w:ascii="Times New Roman" w:hAnsi="Times New Roman"/>
          <w:sz w:val="28"/>
          <w:szCs w:val="28"/>
          <w:lang w:val="sr-Cyrl-ME"/>
        </w:rPr>
        <w:t xml:space="preserve"> u javnosti prepoznat</w:t>
      </w:r>
      <w:r>
        <w:rPr>
          <w:rFonts w:ascii="Times New Roman" w:hAnsi="Times New Roman"/>
          <w:sz w:val="28"/>
          <w:szCs w:val="28"/>
          <w:lang w:val="sr-Latn-RS"/>
        </w:rPr>
        <w:t>a</w:t>
      </w:r>
      <w:r>
        <w:rPr>
          <w:rFonts w:ascii="Times New Roman" w:hAnsi="Times New Roman"/>
          <w:sz w:val="28"/>
          <w:szCs w:val="28"/>
          <w:lang w:val="sr-Cyrl-ME"/>
        </w:rPr>
        <w:t xml:space="preserve"> kao projekat od nacionalnog značaja za ostvarivanje javnog intersa u kulturi i da </w:t>
      </w:r>
      <w:r>
        <w:rPr>
          <w:rFonts w:ascii="Times New Roman" w:hAnsi="Times New Roman"/>
          <w:sz w:val="28"/>
          <w:szCs w:val="28"/>
          <w:lang w:val="sr-Latn-RS"/>
        </w:rPr>
        <w:t>u kontinuitetu izlazi dvije decenije, u narednoj godini planiramo da objavimo objedinjena reprint izdanja, na osnovu kojih bi se mogla pratiti i analizirati pozorišna zbivanja u Crnoj Gori i u regionu u posljednjih dvadeset godina. Taj projekat bi realizov</w:t>
      </w:r>
      <w:r>
        <w:rPr>
          <w:rFonts w:ascii="Times New Roman" w:hAnsi="Times New Roman"/>
          <w:sz w:val="28"/>
          <w:szCs w:val="28"/>
          <w:lang w:val="sr-Latn-RS"/>
        </w:rPr>
        <w:t xml:space="preserve">ali uz podršku Ministarstva kulture i medija, kroz Konkurs za časopise i publikacije. Za objavljivanje časopisa, pored sufinansirajućih sredstava od Ministarstva, neophodno je obezbijediti dodatnih 1 000, 00 eura, dok je za objedinjena reprint izdanja ove </w:t>
      </w:r>
      <w:r>
        <w:rPr>
          <w:rFonts w:ascii="Times New Roman" w:hAnsi="Times New Roman"/>
          <w:sz w:val="28"/>
          <w:szCs w:val="28"/>
          <w:lang w:val="sr-Latn-RS"/>
        </w:rPr>
        <w:t xml:space="preserve">publikacije, neophodno obezbijediti 2 500, 00 eura iz Budžeta. </w:t>
      </w:r>
    </w:p>
    <w:p w:rsidR="00753326" w:rsidRDefault="00F14E1D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Latn-RS"/>
        </w:rPr>
        <w:t xml:space="preserve">Kroz saizdavačku saradnju sa Bibliotekom „Njegoš“ planirano je i objavljivanje novog izdanja čuvene knjige „Kazivanje starih Trebješana“. </w:t>
      </w:r>
    </w:p>
    <w:p w:rsidR="00753326" w:rsidRDefault="00F14E1D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Latn-RS"/>
        </w:rPr>
        <w:t>Za jedinicu do</w:t>
      </w:r>
      <w:r>
        <w:rPr>
          <w:rFonts w:ascii="Times New Roman" w:hAnsi="Times New Roman"/>
          <w:sz w:val="28"/>
          <w:szCs w:val="28"/>
          <w:lang w:val="sr-Cyrl-ME"/>
        </w:rPr>
        <w:t>kumentaciono-producentsk</w:t>
      </w:r>
      <w:r>
        <w:rPr>
          <w:rFonts w:ascii="Times New Roman" w:hAnsi="Times New Roman"/>
          <w:sz w:val="28"/>
          <w:szCs w:val="28"/>
          <w:lang w:val="sr-Latn-RS"/>
        </w:rPr>
        <w:t>e</w:t>
      </w:r>
      <w:r>
        <w:rPr>
          <w:rFonts w:ascii="Times New Roman" w:hAnsi="Times New Roman"/>
          <w:sz w:val="28"/>
          <w:szCs w:val="28"/>
          <w:lang w:val="sr-Cyrl-ME"/>
        </w:rPr>
        <w:t xml:space="preserve"> građ</w:t>
      </w:r>
      <w:r>
        <w:rPr>
          <w:rFonts w:ascii="Times New Roman" w:hAnsi="Times New Roman"/>
          <w:sz w:val="28"/>
          <w:szCs w:val="28"/>
          <w:lang w:val="sr-Latn-RS"/>
        </w:rPr>
        <w:t>e</w:t>
      </w:r>
      <w:r>
        <w:rPr>
          <w:rFonts w:ascii="Times New Roman" w:hAnsi="Times New Roman"/>
          <w:sz w:val="28"/>
          <w:szCs w:val="28"/>
          <w:lang w:val="sr-Cyrl-ME"/>
        </w:rPr>
        <w:t xml:space="preserve"> koja je</w:t>
      </w:r>
      <w:r>
        <w:rPr>
          <w:rFonts w:ascii="Times New Roman" w:hAnsi="Times New Roman"/>
          <w:sz w:val="28"/>
          <w:szCs w:val="28"/>
          <w:lang w:val="sr-Latn-RS"/>
        </w:rPr>
        <w:t xml:space="preserve"> tokom 2025. godine</w:t>
      </w:r>
      <w:r>
        <w:rPr>
          <w:rFonts w:ascii="Times New Roman" w:hAnsi="Times New Roman"/>
          <w:sz w:val="28"/>
          <w:szCs w:val="28"/>
          <w:lang w:val="sr-Cyrl-ME"/>
        </w:rPr>
        <w:t xml:space="preserve"> </w:t>
      </w:r>
      <w:r>
        <w:rPr>
          <w:rFonts w:ascii="Times New Roman" w:hAnsi="Times New Roman"/>
          <w:sz w:val="28"/>
          <w:szCs w:val="28"/>
          <w:lang w:val="sr-Latn-RS"/>
        </w:rPr>
        <w:t xml:space="preserve">obrađena </w:t>
      </w:r>
      <w:r>
        <w:rPr>
          <w:rFonts w:ascii="Times New Roman" w:hAnsi="Times New Roman"/>
          <w:sz w:val="28"/>
          <w:szCs w:val="28"/>
          <w:lang w:val="sr-Cyrl-ME"/>
        </w:rPr>
        <w:t>po standardima i normativima</w:t>
      </w:r>
      <w:r>
        <w:rPr>
          <w:rFonts w:ascii="Times New Roman" w:hAnsi="Times New Roman"/>
          <w:sz w:val="28"/>
          <w:szCs w:val="28"/>
          <w:lang w:val="sr-Latn-RS"/>
        </w:rPr>
        <w:t>,</w:t>
      </w:r>
      <w:r>
        <w:rPr>
          <w:rFonts w:ascii="Times New Roman" w:hAnsi="Times New Roman"/>
          <w:sz w:val="28"/>
          <w:szCs w:val="28"/>
          <w:lang w:val="sr-Cyrl-ME"/>
        </w:rPr>
        <w:t xml:space="preserve"> z</w:t>
      </w:r>
      <w:r>
        <w:rPr>
          <w:rFonts w:ascii="Times New Roman" w:hAnsi="Times New Roman"/>
          <w:sz w:val="28"/>
          <w:szCs w:val="28"/>
          <w:lang w:val="sr-Latn-RS"/>
        </w:rPr>
        <w:t>bog</w:t>
      </w:r>
      <w:r>
        <w:rPr>
          <w:rFonts w:ascii="Times New Roman" w:hAnsi="Times New Roman"/>
          <w:sz w:val="28"/>
          <w:szCs w:val="28"/>
          <w:lang w:val="sr-Cyrl-ME"/>
        </w:rPr>
        <w:t xml:space="preserve"> </w:t>
      </w:r>
      <w:r>
        <w:rPr>
          <w:rFonts w:ascii="Times New Roman" w:hAnsi="Times New Roman"/>
          <w:sz w:val="28"/>
          <w:szCs w:val="28"/>
          <w:lang w:val="sr-Latn-RS"/>
        </w:rPr>
        <w:t xml:space="preserve">adekvatnog čuvanja pozorišne građe </w:t>
      </w:r>
      <w:r>
        <w:rPr>
          <w:rFonts w:ascii="Times New Roman" w:hAnsi="Times New Roman"/>
          <w:sz w:val="28"/>
          <w:szCs w:val="28"/>
          <w:lang w:val="sr-Cyrl-ME"/>
        </w:rPr>
        <w:t>neophodn</w:t>
      </w:r>
      <w:r>
        <w:rPr>
          <w:rFonts w:ascii="Times New Roman" w:hAnsi="Times New Roman"/>
          <w:sz w:val="28"/>
          <w:szCs w:val="28"/>
          <w:lang w:val="sr-Latn-RS"/>
        </w:rPr>
        <w:t>o</w:t>
      </w:r>
      <w:r>
        <w:rPr>
          <w:rFonts w:ascii="Times New Roman" w:hAnsi="Times New Roman"/>
          <w:sz w:val="28"/>
          <w:szCs w:val="28"/>
          <w:lang w:val="sr-Cyrl-ME"/>
        </w:rPr>
        <w:t xml:space="preserve"> </w:t>
      </w:r>
      <w:r>
        <w:rPr>
          <w:rFonts w:ascii="Times New Roman" w:hAnsi="Times New Roman"/>
          <w:sz w:val="28"/>
          <w:szCs w:val="28"/>
          <w:lang w:val="sr-Latn-RS"/>
        </w:rPr>
        <w:t>je obezbijediti klimatizovan prostor i adekvatnu opremu za arhiviranje i čuvanje</w:t>
      </w:r>
      <w:r>
        <w:rPr>
          <w:rFonts w:ascii="Times New Roman" w:hAnsi="Times New Roman"/>
          <w:sz w:val="28"/>
          <w:szCs w:val="28"/>
          <w:lang w:val="sr-Cyrl-ME"/>
        </w:rPr>
        <w:t xml:space="preserve">. </w:t>
      </w:r>
      <w:r>
        <w:rPr>
          <w:rFonts w:ascii="Times New Roman" w:hAnsi="Times New Roman"/>
          <w:sz w:val="28"/>
          <w:szCs w:val="28"/>
          <w:lang w:val="sr-Latn-RS"/>
        </w:rPr>
        <w:t xml:space="preserve">Oba segmenta rada ove jedinice Izdavačke djelatnosti bi </w:t>
      </w:r>
      <w:r>
        <w:rPr>
          <w:rFonts w:ascii="Times New Roman" w:hAnsi="Times New Roman"/>
          <w:sz w:val="28"/>
          <w:szCs w:val="28"/>
          <w:lang w:val="sr-Cyrl-ME"/>
        </w:rPr>
        <w:t>bile dost</w:t>
      </w:r>
      <w:r>
        <w:rPr>
          <w:rFonts w:ascii="Times New Roman" w:hAnsi="Times New Roman"/>
          <w:sz w:val="28"/>
          <w:szCs w:val="28"/>
          <w:lang w:val="sr-Cyrl-ME"/>
        </w:rPr>
        <w:t>upne dramskim umjetnicima, istraživačima</w:t>
      </w:r>
      <w:r>
        <w:rPr>
          <w:rFonts w:ascii="Times New Roman" w:hAnsi="Times New Roman"/>
          <w:sz w:val="28"/>
          <w:szCs w:val="28"/>
          <w:lang w:val="sr-Latn-RS"/>
        </w:rPr>
        <w:t>, ali</w:t>
      </w:r>
      <w:r>
        <w:rPr>
          <w:rFonts w:ascii="Times New Roman" w:hAnsi="Times New Roman"/>
          <w:sz w:val="28"/>
          <w:szCs w:val="28"/>
          <w:lang w:val="sr-Cyrl-ME"/>
        </w:rPr>
        <w:t xml:space="preserve"> i publici kroz organizovanje </w:t>
      </w:r>
      <w:r>
        <w:rPr>
          <w:rFonts w:ascii="Times New Roman" w:hAnsi="Times New Roman"/>
          <w:sz w:val="28"/>
          <w:szCs w:val="28"/>
          <w:lang w:val="sr-Latn-RS"/>
        </w:rPr>
        <w:t xml:space="preserve">promocija i </w:t>
      </w:r>
      <w:r>
        <w:rPr>
          <w:rFonts w:ascii="Times New Roman" w:hAnsi="Times New Roman"/>
          <w:sz w:val="28"/>
          <w:szCs w:val="28"/>
          <w:lang w:val="sr-Cyrl-ME"/>
        </w:rPr>
        <w:t>izložbi. Kompletna dokumentaciona građa je digitalizovana i dostupna je svim zainteresovanim licima i subjektima.</w:t>
      </w:r>
      <w:r>
        <w:rPr>
          <w:rFonts w:ascii="Times New Roman" w:hAnsi="Times New Roman"/>
          <w:sz w:val="28"/>
          <w:szCs w:val="28"/>
          <w:lang w:val="sr-Latn-RS"/>
        </w:rPr>
        <w:t xml:space="preserve"> Za navedene aktivnosti biće potrebna određena novčana s</w:t>
      </w:r>
      <w:r>
        <w:rPr>
          <w:rFonts w:ascii="Times New Roman" w:hAnsi="Times New Roman"/>
          <w:sz w:val="28"/>
          <w:szCs w:val="28"/>
          <w:lang w:val="sr-Latn-RS"/>
        </w:rPr>
        <w:t>redstva i nadamo se da će se u narednom periodu, kad se formira institucija Nikšić evropska prestonica kulture za 2030. godinu ova opšta potreba uvrstiti kao prioritet.</w:t>
      </w:r>
    </w:p>
    <w:p w:rsidR="00753326" w:rsidRDefault="00753326">
      <w:pPr>
        <w:spacing w:after="0" w:line="360" w:lineRule="auto"/>
        <w:ind w:firstLine="720"/>
        <w:jc w:val="both"/>
        <w:rPr>
          <w:rFonts w:ascii="Times New Roman" w:hAnsi="Times New Roman"/>
          <w:lang w:val="sr-Cyrl-ME"/>
        </w:rPr>
      </w:pPr>
    </w:p>
    <w:p w:rsidR="00753326" w:rsidRPr="004F12C8" w:rsidRDefault="00753326">
      <w:pPr>
        <w:spacing w:after="10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</w:p>
    <w:p w:rsidR="00753326" w:rsidRPr="004F12C8" w:rsidRDefault="00753326">
      <w:pPr>
        <w:spacing w:line="36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  <w:lang w:val="sr-Latn-RS"/>
        </w:rPr>
      </w:pPr>
    </w:p>
    <w:p w:rsidR="00753326" w:rsidRDefault="00F14E1D">
      <w:pPr>
        <w:spacing w:line="360" w:lineRule="auto"/>
        <w:jc w:val="center"/>
        <w:outlineLvl w:val="0"/>
        <w:rPr>
          <w:rFonts w:ascii="Times New Roman" w:eastAsia="SimSu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Planirana budžetska sredstva sa kvalifikacionom strukturom zaposlenih</w:t>
      </w:r>
    </w:p>
    <w:p w:rsidR="00753326" w:rsidRDefault="00753326">
      <w:pPr>
        <w:spacing w:line="360" w:lineRule="auto"/>
        <w:jc w:val="center"/>
        <w:outlineLvl w:val="0"/>
        <w:rPr>
          <w:rFonts w:ascii="Times New Roman" w:hAnsi="Times New Roman"/>
          <w:b/>
          <w:bCs/>
        </w:rPr>
      </w:pPr>
    </w:p>
    <w:p w:rsidR="00753326" w:rsidRDefault="00F14E1D">
      <w:pPr>
        <w:spacing w:line="360" w:lineRule="auto"/>
        <w:jc w:val="center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753326" w:rsidRDefault="00F14E1D">
      <w:pPr>
        <w:shd w:val="clear" w:color="auto" w:fill="FFFFFF"/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U Nikšićkom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pozorištu je radno angažovano ukupno 60 zaposlenih, od čega je 55 na neodređeno i 5 zaposlenih (po Ugovoru o ustupanju radnika – preko Agencije) na određeno vrijeme.</w:t>
      </w:r>
    </w:p>
    <w:p w:rsidR="00753326" w:rsidRDefault="00753326">
      <w:pPr>
        <w:shd w:val="clear" w:color="auto" w:fill="FFFFFF"/>
        <w:spacing w:line="360" w:lineRule="auto"/>
        <w:ind w:firstLine="720"/>
        <w:jc w:val="both"/>
        <w:rPr>
          <w:rFonts w:ascii="Calibri" w:eastAsia="Times New Roman" w:hAnsi="Calibri" w:cs="Calibri"/>
          <w:color w:val="222222"/>
        </w:rPr>
      </w:pPr>
    </w:p>
    <w:p w:rsidR="00753326" w:rsidRDefault="00F14E1D">
      <w:pPr>
        <w:shd w:val="clear" w:color="auto" w:fill="FFFFFF"/>
        <w:spacing w:line="360" w:lineRule="auto"/>
        <w:ind w:firstLine="709"/>
        <w:jc w:val="both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Kvalifikaciona struktura zaposlenih na neodređeno i određeno vrijeme:</w:t>
      </w:r>
    </w:p>
    <w:p w:rsidR="00753326" w:rsidRDefault="00F14E1D">
      <w:pPr>
        <w:spacing w:line="360" w:lineRule="auto"/>
        <w:jc w:val="both"/>
        <w:rPr>
          <w:rFonts w:ascii="Calibri" w:eastAsia="Times New Roman" w:hAnsi="Calibri" w:cs="Calibri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753326" w:rsidRDefault="00F14E1D">
      <w:pPr>
        <w:pStyle w:val="ListParagraph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sr-Latn-RS"/>
        </w:rPr>
        <w:t>1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 zaposlen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sr-Latn-RS"/>
        </w:rPr>
        <w:t>i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sa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VSS</w:t>
      </w:r>
    </w:p>
    <w:p w:rsidR="00753326" w:rsidRDefault="00F14E1D">
      <w:pPr>
        <w:pStyle w:val="ListParagraph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 zaposlena sa VS</w:t>
      </w:r>
    </w:p>
    <w:p w:rsidR="00753326" w:rsidRDefault="00F14E1D">
      <w:pPr>
        <w:pStyle w:val="ListParagraph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29 zaposlenih sa SSS</w:t>
      </w:r>
    </w:p>
    <w:p w:rsidR="00753326" w:rsidRDefault="00F14E1D">
      <w:pPr>
        <w:pStyle w:val="ListParagraph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1 zaposleni sa OŠ</w:t>
      </w:r>
    </w:p>
    <w:p w:rsidR="00753326" w:rsidRDefault="00F14E1D">
      <w:pPr>
        <w:pStyle w:val="ListParagraph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 zaposlena na određeno vrijeme SSS</w:t>
      </w:r>
    </w:p>
    <w:p w:rsidR="00753326" w:rsidRDefault="00F14E1D">
      <w:pPr>
        <w:pStyle w:val="ListParagraph"/>
        <w:numPr>
          <w:ilvl w:val="0"/>
          <w:numId w:val="2"/>
        </w:numPr>
        <w:spacing w:after="0" w:line="360" w:lineRule="auto"/>
        <w:ind w:hanging="1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 zaposleni na određeno vrijeme VSS</w:t>
      </w:r>
    </w:p>
    <w:p w:rsidR="00753326" w:rsidRDefault="00F14E1D">
      <w:pPr>
        <w:shd w:val="clear" w:color="auto" w:fill="FFFFFF"/>
        <w:spacing w:line="360" w:lineRule="auto"/>
        <w:ind w:left="720"/>
        <w:jc w:val="both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    </w:t>
      </w:r>
    </w:p>
    <w:p w:rsidR="00753326" w:rsidRDefault="00F14E1D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sr-Latn-M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Planirani izdaci za bruto zarade i doprinose poslodavca za 60 zaposlenih radnika na neodređeno i određeno vrijeme u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2026. godini iznose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sr-Latn-RS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sr-Latn-ME"/>
        </w:rPr>
        <w:t>615.180,00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eur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sr-Latn-ME"/>
        </w:rPr>
        <w:t>a.</w:t>
      </w:r>
    </w:p>
    <w:p w:rsidR="00753326" w:rsidRDefault="0075332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r-Latn-CS"/>
        </w:rPr>
      </w:pPr>
    </w:p>
    <w:p w:rsidR="00753326" w:rsidRDefault="0075332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r-Latn-CS"/>
        </w:rPr>
      </w:pPr>
    </w:p>
    <w:p w:rsidR="00753326" w:rsidRDefault="0075332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r-Latn-CS"/>
        </w:rPr>
      </w:pPr>
    </w:p>
    <w:p w:rsidR="00753326" w:rsidRDefault="0075332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r-Latn-CS"/>
        </w:rPr>
      </w:pPr>
    </w:p>
    <w:p w:rsidR="00753326" w:rsidRDefault="00F14E1D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r-Latn-CS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r-Latn-CS"/>
        </w:rPr>
        <w:lastRenderedPageBreak/>
        <w:t>Finansijski plan za 202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r-Latn-ME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sr-Latn-CS"/>
        </w:rPr>
        <w:t>. godinu</w:t>
      </w:r>
    </w:p>
    <w:p w:rsidR="00753326" w:rsidRDefault="0075332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sr-Latn-CS"/>
        </w:rPr>
      </w:pPr>
    </w:p>
    <w:p w:rsidR="00753326" w:rsidRDefault="00F14E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sr-Latn-CS"/>
        </w:rPr>
        <w:t>PRIHODI: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1925"/>
      </w:tblGrid>
      <w:tr w:rsidR="00753326">
        <w:trPr>
          <w:jc w:val="center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26" w:rsidRDefault="00F14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PRIHODI IZ BUDŽETA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26" w:rsidRDefault="00F14E1D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sr-Latn-ME"/>
              </w:rPr>
              <w:t>873 120,00</w:t>
            </w:r>
          </w:p>
        </w:tc>
      </w:tr>
      <w:tr w:rsidR="00753326">
        <w:trPr>
          <w:jc w:val="center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26" w:rsidRDefault="00F14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PRIHODI OD DONACIJA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26" w:rsidRDefault="00F14E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>0 000,00</w:t>
            </w:r>
          </w:p>
        </w:tc>
      </w:tr>
      <w:tr w:rsidR="00753326">
        <w:trPr>
          <w:jc w:val="center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26" w:rsidRDefault="00F14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PRIHODI IZ SOPSTVENIH DJELATNOSTI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26" w:rsidRDefault="00F14E1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sr-Cyrl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ME"/>
              </w:rPr>
              <w:t xml:space="preserve"> 000,00</w:t>
            </w:r>
          </w:p>
        </w:tc>
      </w:tr>
      <w:tr w:rsidR="00753326">
        <w:trPr>
          <w:jc w:val="center"/>
        </w:trPr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26" w:rsidRDefault="00F14E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r-Latn-CS"/>
              </w:rPr>
              <w:t>U K U P N O: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26" w:rsidRDefault="00F14E1D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r-Latn-ME"/>
              </w:rPr>
              <w:t>953 120,00</w:t>
            </w:r>
          </w:p>
        </w:tc>
      </w:tr>
    </w:tbl>
    <w:p w:rsidR="00753326" w:rsidRDefault="007533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753326" w:rsidRDefault="00F14E1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sr-Latn-CS"/>
        </w:rPr>
        <w:t>RASHODI: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9"/>
        <w:gridCol w:w="1889"/>
      </w:tblGrid>
      <w:tr w:rsidR="00753326">
        <w:trPr>
          <w:trHeight w:val="313"/>
          <w:jc w:val="center"/>
        </w:trPr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BRUTO ZARADE ZAPOSLENIH 202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26" w:rsidRDefault="00F14E1D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615 180,00</w:t>
            </w:r>
          </w:p>
        </w:tc>
      </w:tr>
      <w:tr w:rsidR="00753326">
        <w:trPr>
          <w:trHeight w:val="1395"/>
          <w:jc w:val="center"/>
        </w:trPr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 xml:space="preserve">PROGRAMSKE AKTIVNOSTI </w:t>
            </w:r>
          </w:p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(Produkcijska i izdavačka djelatnost)</w:t>
            </w:r>
          </w:p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-Sredstva iz Budžeta Opštine (programske aktivnosti 202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)</w:t>
            </w:r>
          </w:p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-Sopstveni prihodi i donacije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26" w:rsidRDefault="007533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</w:p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 xml:space="preserve">       </w:t>
            </w:r>
          </w:p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120 000,00</w:t>
            </w:r>
          </w:p>
          <w:p w:rsidR="00753326" w:rsidRDefault="00F14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0 000,00</w:t>
            </w:r>
          </w:p>
        </w:tc>
      </w:tr>
      <w:tr w:rsidR="00753326">
        <w:trPr>
          <w:trHeight w:val="458"/>
          <w:jc w:val="center"/>
        </w:trPr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 xml:space="preserve">KOMUNALNI IZDACI </w:t>
            </w:r>
          </w:p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>(Sredstva iz Budžeta Opštine)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26" w:rsidRDefault="00F14E1D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 xml:space="preserve">45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ME"/>
              </w:rPr>
              <w:t>000,00</w:t>
            </w:r>
          </w:p>
        </w:tc>
      </w:tr>
      <w:tr w:rsidR="00753326">
        <w:trPr>
          <w:trHeight w:val="313"/>
          <w:jc w:val="center"/>
        </w:trPr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CS"/>
              </w:rPr>
              <w:t xml:space="preserve">NAKNADE ČLANOVIMA POZORIŠNOG SAVJETA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53326" w:rsidRDefault="00F14E1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sr-Latn-CS"/>
              </w:rPr>
              <w:t xml:space="preserve">4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sr-Latn-ME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sr-Cyrl-ME"/>
              </w:rPr>
              <w:t>30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sr-Latn-ME"/>
              </w:rPr>
              <w:t>,00</w:t>
            </w:r>
          </w:p>
        </w:tc>
      </w:tr>
      <w:tr w:rsidR="00753326">
        <w:trPr>
          <w:trHeight w:val="433"/>
          <w:jc w:val="center"/>
        </w:trPr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sr-Latn-CS"/>
              </w:rPr>
              <w:t xml:space="preserve">TRANSFER ZIMNICA I DRUGO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26" w:rsidRDefault="00F14E1D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sr-Latn-ME"/>
              </w:rPr>
              <w:t>26 000,00</w:t>
            </w:r>
          </w:p>
        </w:tc>
      </w:tr>
      <w:tr w:rsidR="00753326">
        <w:trPr>
          <w:trHeight w:val="321"/>
          <w:jc w:val="center"/>
        </w:trPr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326" w:rsidRDefault="00F14E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sr-Latn-CS"/>
              </w:rPr>
              <w:t xml:space="preserve">OTPLATA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sr-Latn-ME"/>
              </w:rPr>
              <w:t>OBAVEZA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sr-Latn-CS"/>
              </w:rPr>
              <w:t xml:space="preserve"> IZ PRETHODNOG PERIODA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326" w:rsidRDefault="00F14E1D">
            <w:pPr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sr-Latn-ME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sr-Latn-ME"/>
              </w:rPr>
              <w:t>62 410,00</w:t>
            </w:r>
          </w:p>
        </w:tc>
      </w:tr>
      <w:tr w:rsidR="00753326">
        <w:trPr>
          <w:trHeight w:val="282"/>
          <w:jc w:val="center"/>
        </w:trPr>
        <w:tc>
          <w:tcPr>
            <w:tcW w:w="77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26" w:rsidRDefault="00F14E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r-Latn-CS"/>
              </w:rPr>
              <w:t>U K U P N O: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26" w:rsidRDefault="00F14E1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r-Latn-ME"/>
              </w:rPr>
              <w:t>953 120,00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sr-Latn-CS"/>
              </w:rPr>
              <w:t xml:space="preserve"> </w:t>
            </w:r>
          </w:p>
        </w:tc>
      </w:tr>
    </w:tbl>
    <w:p w:rsidR="00753326" w:rsidRDefault="007533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</w:p>
    <w:p w:rsidR="00753326" w:rsidRDefault="00F14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Obrazloženje prenosa sredstava:</w:t>
      </w:r>
    </w:p>
    <w:p w:rsidR="00753326" w:rsidRDefault="00F14E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Ukupni transfer iz </w:t>
      </w:r>
      <w:r>
        <w:rPr>
          <w:rFonts w:ascii="Times New Roman" w:hAnsi="Times New Roman" w:cs="Times New Roman"/>
          <w:sz w:val="28"/>
          <w:szCs w:val="28"/>
          <w:lang w:val="sr-Latn-ME"/>
        </w:rPr>
        <w:t>B</w:t>
      </w:r>
      <w:r>
        <w:rPr>
          <w:rFonts w:ascii="Times New Roman" w:hAnsi="Times New Roman" w:cs="Times New Roman"/>
          <w:sz w:val="28"/>
          <w:szCs w:val="28"/>
        </w:rPr>
        <w:t>udžeta Opštine Nikšić iznosi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873 120,00 </w:t>
      </w:r>
      <w:r>
        <w:rPr>
          <w:rFonts w:ascii="Times New Roman" w:hAnsi="Times New Roman" w:cs="Times New Roman"/>
          <w:b/>
          <w:bCs/>
          <w:sz w:val="28"/>
          <w:szCs w:val="28"/>
        </w:rPr>
        <w:t>eura</w:t>
      </w:r>
      <w:r>
        <w:rPr>
          <w:rFonts w:ascii="Times New Roman" w:hAnsi="Times New Roman" w:cs="Times New Roman"/>
          <w:sz w:val="28"/>
          <w:szCs w:val="28"/>
        </w:rPr>
        <w:t>. Od ovog iznosa planira se prenos sredstava:</w:t>
      </w:r>
    </w:p>
    <w:p w:rsidR="00753326" w:rsidRDefault="00F14E1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bruto zarade zaposlenih u iznosu od </w:t>
      </w:r>
      <w:r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615 180,00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eura</w:t>
      </w:r>
      <w:r>
        <w:rPr>
          <w:rFonts w:ascii="Times New Roman" w:hAnsi="Times New Roman" w:cs="Times New Roman"/>
          <w:sz w:val="28"/>
          <w:szCs w:val="28"/>
        </w:rPr>
        <w:t xml:space="preserve"> i iste su planirane za jedanaest mjeseci 202</w:t>
      </w:r>
      <w:r>
        <w:rPr>
          <w:rFonts w:ascii="Times New Roman" w:hAnsi="Times New Roman" w:cs="Times New Roman"/>
          <w:sz w:val="28"/>
          <w:szCs w:val="28"/>
          <w:lang w:val="sr-Latn-ME"/>
        </w:rPr>
        <w:t>6</w:t>
      </w:r>
      <w:r>
        <w:rPr>
          <w:rFonts w:ascii="Times New Roman" w:hAnsi="Times New Roman" w:cs="Times New Roman"/>
          <w:sz w:val="28"/>
          <w:szCs w:val="28"/>
        </w:rPr>
        <w:t>. godine (5</w:t>
      </w:r>
      <w:r>
        <w:rPr>
          <w:rFonts w:ascii="Times New Roman" w:hAnsi="Times New Roman" w:cs="Times New Roman"/>
          <w:sz w:val="28"/>
          <w:szCs w:val="28"/>
          <w:lang w:val="sr-Latn-M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zaposlenih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 i 5 zaposlenih preko Agencije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53326" w:rsidRDefault="00F14E1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ime programskih aktivnosti planirano</w:t>
      </w:r>
      <w:r>
        <w:rPr>
          <w:rFonts w:ascii="Times New Roman" w:hAnsi="Times New Roman" w:cs="Times New Roman"/>
          <w:sz w:val="28"/>
          <w:szCs w:val="28"/>
        </w:rPr>
        <w:t xml:space="preserve"> je </w:t>
      </w:r>
      <w:r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120 000,00 eura</w:t>
      </w:r>
      <w:r>
        <w:rPr>
          <w:rFonts w:ascii="Times New Roman" w:hAnsi="Times New Roman" w:cs="Times New Roman"/>
          <w:sz w:val="28"/>
          <w:szCs w:val="28"/>
        </w:rPr>
        <w:t xml:space="preserve">, komunalnih usluga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000,00 eura</w:t>
      </w:r>
      <w:r>
        <w:rPr>
          <w:rFonts w:ascii="Times New Roman" w:hAnsi="Times New Roman" w:cs="Times New Roman"/>
          <w:sz w:val="28"/>
          <w:szCs w:val="28"/>
        </w:rPr>
        <w:t xml:space="preserve">, nadoknade članovima </w:t>
      </w:r>
      <w:r>
        <w:rPr>
          <w:rFonts w:ascii="Times New Roman" w:hAnsi="Times New Roman" w:cs="Times New Roman"/>
          <w:sz w:val="28"/>
          <w:szCs w:val="28"/>
          <w:lang w:val="sr-Latn-ME"/>
        </w:rPr>
        <w:t xml:space="preserve">Pozorišnog </w:t>
      </w:r>
      <w:r>
        <w:rPr>
          <w:rFonts w:ascii="Times New Roman" w:hAnsi="Times New Roman" w:cs="Times New Roman"/>
          <w:sz w:val="28"/>
          <w:szCs w:val="28"/>
        </w:rPr>
        <w:t xml:space="preserve">Savjeta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  <w:lang w:val="sr-Cyrl-ME"/>
        </w:rPr>
        <w:t>530</w:t>
      </w:r>
      <w:r>
        <w:rPr>
          <w:rFonts w:ascii="Times New Roman" w:hAnsi="Times New Roman" w:cs="Times New Roman"/>
          <w:b/>
          <w:sz w:val="28"/>
          <w:szCs w:val="28"/>
        </w:rPr>
        <w:t>,00 eura</w:t>
      </w:r>
      <w:r>
        <w:rPr>
          <w:rFonts w:ascii="Times New Roman" w:hAnsi="Times New Roman" w:cs="Times New Roman"/>
          <w:sz w:val="28"/>
          <w:szCs w:val="28"/>
        </w:rPr>
        <w:t xml:space="preserve"> i transfer za zimnicu i ostalo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sr-Latn-ME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000,00 eura</w:t>
      </w:r>
    </w:p>
    <w:p w:rsidR="00753326" w:rsidRDefault="00F14E1D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bruto zarada za decembar 202</w:t>
      </w:r>
      <w:r>
        <w:rPr>
          <w:rFonts w:ascii="Times New Roman" w:hAnsi="Times New Roman" w:cs="Times New Roman"/>
          <w:sz w:val="28"/>
          <w:szCs w:val="28"/>
          <w:lang w:val="sr-Latn-ME"/>
        </w:rPr>
        <w:t>5</w:t>
      </w:r>
      <w:r>
        <w:rPr>
          <w:rFonts w:ascii="Times New Roman" w:hAnsi="Times New Roman" w:cs="Times New Roman"/>
          <w:sz w:val="28"/>
          <w:szCs w:val="28"/>
        </w:rPr>
        <w:t>.godine u iznosu od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6 910,0</w:t>
      </w:r>
      <w:r>
        <w:rPr>
          <w:rFonts w:ascii="Times New Roman" w:hAnsi="Times New Roman" w:cs="Times New Roman"/>
          <w:b/>
          <w:bCs/>
          <w:sz w:val="28"/>
          <w:szCs w:val="28"/>
        </w:rPr>
        <w:t>eura</w:t>
      </w:r>
      <w:r>
        <w:rPr>
          <w:rFonts w:ascii="Times New Roman" w:hAnsi="Times New Roman" w:cs="Times New Roman"/>
          <w:sz w:val="28"/>
          <w:szCs w:val="28"/>
        </w:rPr>
        <w:t xml:space="preserve"> planirana je u otplati obaveza iz pretho</w:t>
      </w:r>
      <w:r>
        <w:rPr>
          <w:rFonts w:ascii="Times New Roman" w:hAnsi="Times New Roman" w:cs="Times New Roman"/>
          <w:sz w:val="28"/>
          <w:szCs w:val="28"/>
        </w:rPr>
        <w:t>dnog perioda, kao i izdaci za komunalne usluge za dvanaesti mjesec 202</w:t>
      </w:r>
      <w:r>
        <w:rPr>
          <w:rFonts w:ascii="Times New Roman" w:hAnsi="Times New Roman" w:cs="Times New Roman"/>
          <w:sz w:val="28"/>
          <w:szCs w:val="28"/>
          <w:lang w:val="sr-Latn-M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god. u iznosu od </w:t>
      </w:r>
      <w:r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5 500,00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eura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3326" w:rsidRDefault="00F14E1D">
      <w:pPr>
        <w:spacing w:before="100" w:beforeAutospacing="1" w:after="100" w:afterAutospacing="1" w:line="450" w:lineRule="atLeast"/>
        <w:jc w:val="center"/>
        <w:rPr>
          <w:rFonts w:ascii="Segoe UI" w:eastAsia="Times New Roman" w:hAnsi="Segoe UI" w:cs="Segoe UI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sr-Cyrl-RS"/>
        </w:rPr>
        <w:lastRenderedPageBreak/>
        <w:t>Zaključak</w:t>
      </w:r>
    </w:p>
    <w:p w:rsidR="00753326" w:rsidRDefault="00F14E1D">
      <w:pPr>
        <w:spacing w:before="100" w:beforeAutospacing="1" w:after="100" w:afterAutospacing="1" w:line="450" w:lineRule="atLeast"/>
        <w:jc w:val="both"/>
        <w:rPr>
          <w:rFonts w:ascii="Segoe UI" w:eastAsia="Times New Roman" w:hAnsi="Segoe UI" w:cs="Segoe UI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         </w:t>
      </w:r>
    </w:p>
    <w:p w:rsidR="00753326" w:rsidRDefault="00F14E1D">
      <w:pPr>
        <w:shd w:val="clear" w:color="auto" w:fill="FFFFFF" w:themeFill="background1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sz w:val="28"/>
          <w:szCs w:val="28"/>
        </w:rPr>
        <w:t xml:space="preserve">Program rada Javne ustanove Nikšićko pozorište za 2026. godinu u cjelini je zasnovan na realnim okvirima kroz koje Nikšićko </w:t>
      </w:r>
      <w:r w:rsidRPr="004F12C8">
        <w:rPr>
          <w:rFonts w:ascii="Times New Roman" w:eastAsia="Times New Roman" w:hAnsi="Times New Roman" w:cs="Times New Roman"/>
          <w:sz w:val="28"/>
          <w:szCs w:val="28"/>
        </w:rPr>
        <w:t>pozorište planira realizaciju skoro 150 programa, čime će se suštinski zadovoljiti javni interesi građana za pozorišnim i drugim srodnim sadržajima kulture. Svi planirani programi za narednu poslovnu godinu realizovaće se kroz projekat „Nikšićka kulturna s</w:t>
      </w:r>
      <w:r w:rsidRPr="004F12C8">
        <w:rPr>
          <w:rFonts w:ascii="Times New Roman" w:eastAsia="Times New Roman" w:hAnsi="Times New Roman" w:cs="Times New Roman"/>
          <w:sz w:val="28"/>
          <w:szCs w:val="28"/>
        </w:rPr>
        <w:t>cena 2026“. Pozorište će na taj način i dalje biti nosilac razvoja kulture u Nikšiću, značajno doprinoseći ukupnom kulturnom miljeu i unapređenju kulturne baštine grada i države, ali aktivno radeći na promociji Nikšića kao Evropske prestonice kulture za 20</w:t>
      </w:r>
      <w:r w:rsidRPr="004F12C8">
        <w:rPr>
          <w:rFonts w:ascii="Times New Roman" w:eastAsia="Times New Roman" w:hAnsi="Times New Roman" w:cs="Times New Roman"/>
          <w:sz w:val="28"/>
          <w:szCs w:val="28"/>
        </w:rPr>
        <w:t>30. godinu.</w:t>
      </w:r>
    </w:p>
    <w:p w:rsidR="00753326" w:rsidRDefault="00F14E1D">
      <w:pPr>
        <w:shd w:val="clear" w:color="auto" w:fill="FFFFFF" w:themeFill="background1"/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2C8">
        <w:rPr>
          <w:rFonts w:ascii="Times New Roman" w:eastAsia="Times New Roman" w:hAnsi="Times New Roman" w:cs="Times New Roman"/>
          <w:sz w:val="28"/>
          <w:szCs w:val="28"/>
        </w:rPr>
        <w:t>Segmenti Programa rada Javne ustanove Nikšićko pozorište za 2026. godinu pokazuju potpunu opravdanost predloženog Plana jer će ostaviti trajan pečat u crnogorskom pozorišnom stvaralaštvu i prezentaciji Nikšića i Crne Gore.</w:t>
      </w:r>
    </w:p>
    <w:p w:rsidR="00753326" w:rsidRDefault="00F14E1D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color w:val="52525B"/>
          <w:sz w:val="30"/>
          <w:szCs w:val="30"/>
        </w:rPr>
      </w:pPr>
      <w:r w:rsidRPr="004F12C8">
        <w:rPr>
          <w:rFonts w:ascii="Segoe UI" w:eastAsia="Times New Roman" w:hAnsi="Segoe UI" w:cs="Segoe UI"/>
          <w:color w:val="52525B"/>
          <w:sz w:val="24"/>
          <w:szCs w:val="24"/>
        </w:rPr>
        <w:t> </w:t>
      </w:r>
    </w:p>
    <w:p w:rsidR="00753326" w:rsidRDefault="00F14E1D">
      <w:r>
        <w:t> </w:t>
      </w:r>
    </w:p>
    <w:p w:rsidR="00753326" w:rsidRDefault="00F14E1D">
      <w:r>
        <w:t> </w:t>
      </w:r>
    </w:p>
    <w:p w:rsidR="00753326" w:rsidRDefault="00F14E1D">
      <w:r>
        <w:t>  </w:t>
      </w:r>
    </w:p>
    <w:p w:rsidR="00753326" w:rsidRDefault="00F14E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</w:t>
      </w:r>
      <w:r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    D I R E K T O R</w:t>
      </w:r>
    </w:p>
    <w:p w:rsidR="00753326" w:rsidRPr="004F12C8" w:rsidRDefault="00F14E1D">
      <w:pPr>
        <w:spacing w:before="100" w:beforeAutospacing="1" w:after="100" w:afterAutospacing="1" w:line="360" w:lineRule="atLeast"/>
        <w:ind w:left="2832"/>
        <w:rPr>
          <w:rFonts w:ascii="Segoe UI" w:eastAsia="Times New Roman" w:hAnsi="Segoe UI" w:cs="Segoe UI"/>
          <w:sz w:val="30"/>
          <w:szCs w:val="30"/>
          <w:lang w:val="sr-Latn-M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                                             </w:t>
      </w:r>
      <w:r>
        <w:rPr>
          <w:rFonts w:ascii="Times New Roman" w:eastAsia="Times New Roman" w:hAnsi="Times New Roman" w:cs="Times New Roman"/>
          <w:sz w:val="28"/>
          <w:szCs w:val="28"/>
          <w:lang w:val="sr-Cyrl-ME"/>
        </w:rPr>
        <w:t>Radinko Krulanović</w:t>
      </w:r>
      <w:r w:rsidR="004F12C8">
        <w:rPr>
          <w:rFonts w:ascii="Times New Roman" w:eastAsia="Times New Roman" w:hAnsi="Times New Roman" w:cs="Times New Roman"/>
          <w:sz w:val="28"/>
          <w:szCs w:val="28"/>
          <w:lang w:val="sr-Latn-ME"/>
        </w:rPr>
        <w:t>, s.r.</w:t>
      </w:r>
      <w:bookmarkStart w:id="0" w:name="_GoBack"/>
      <w:bookmarkEnd w:id="0"/>
    </w:p>
    <w:p w:rsidR="00753326" w:rsidRDefault="00F14E1D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sz w:val="30"/>
          <w:szCs w:val="30"/>
        </w:rPr>
      </w:pPr>
      <w:r>
        <w:rPr>
          <w:rFonts w:ascii="Segoe UI" w:eastAsia="Times New Roman" w:hAnsi="Segoe UI" w:cs="Segoe UI"/>
          <w:sz w:val="30"/>
          <w:szCs w:val="30"/>
        </w:rPr>
        <w:t> </w:t>
      </w:r>
    </w:p>
    <w:p w:rsidR="00753326" w:rsidRDefault="00753326">
      <w:pPr>
        <w:spacing w:line="360" w:lineRule="auto"/>
        <w:jc w:val="center"/>
      </w:pPr>
    </w:p>
    <w:sectPr w:rsidR="00753326">
      <w:footerReference w:type="default" r:id="rId9"/>
      <w:pgSz w:w="12240" w:h="15840"/>
      <w:pgMar w:top="1440" w:right="1440" w:bottom="380" w:left="1440" w:header="720" w:footer="720" w:gutter="0"/>
      <w:pgNumType w:start="0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1D" w:rsidRDefault="00F14E1D">
      <w:pPr>
        <w:spacing w:line="240" w:lineRule="auto"/>
      </w:pPr>
      <w:r>
        <w:separator/>
      </w:r>
    </w:p>
  </w:endnote>
  <w:endnote w:type="continuationSeparator" w:id="0">
    <w:p w:rsidR="00F14E1D" w:rsidRDefault="00F14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1078333"/>
    </w:sdtPr>
    <w:sdtEndPr/>
    <w:sdtContent>
      <w:p w:rsidR="00753326" w:rsidRDefault="00F14E1D">
        <w:pPr>
          <w:pStyle w:val="Footer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4F12C8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53326" w:rsidRDefault="007533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1D" w:rsidRDefault="00F14E1D">
      <w:pPr>
        <w:spacing w:after="0"/>
      </w:pPr>
      <w:r>
        <w:separator/>
      </w:r>
    </w:p>
  </w:footnote>
  <w:footnote w:type="continuationSeparator" w:id="0">
    <w:p w:rsidR="00F14E1D" w:rsidRDefault="00F14E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B44C4"/>
    <w:multiLevelType w:val="multilevel"/>
    <w:tmpl w:val="21AB44C4"/>
    <w:lvl w:ilvl="0">
      <w:start w:val="30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73C04C9"/>
    <w:multiLevelType w:val="multilevel"/>
    <w:tmpl w:val="473C04C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23A9C"/>
    <w:multiLevelType w:val="multilevel"/>
    <w:tmpl w:val="74123A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5E"/>
    <w:rsid w:val="000254AB"/>
    <w:rsid w:val="000345BF"/>
    <w:rsid w:val="00055B37"/>
    <w:rsid w:val="00070415"/>
    <w:rsid w:val="000958EC"/>
    <w:rsid w:val="000E5636"/>
    <w:rsid w:val="000E6CAB"/>
    <w:rsid w:val="000F56CB"/>
    <w:rsid w:val="001134CF"/>
    <w:rsid w:val="001477E2"/>
    <w:rsid w:val="00150849"/>
    <w:rsid w:val="00165417"/>
    <w:rsid w:val="001E36AF"/>
    <w:rsid w:val="0021093E"/>
    <w:rsid w:val="00224080"/>
    <w:rsid w:val="00270595"/>
    <w:rsid w:val="002B085E"/>
    <w:rsid w:val="002B205D"/>
    <w:rsid w:val="002B3E8B"/>
    <w:rsid w:val="002C6F11"/>
    <w:rsid w:val="002F520D"/>
    <w:rsid w:val="00304999"/>
    <w:rsid w:val="00313557"/>
    <w:rsid w:val="003167B7"/>
    <w:rsid w:val="00331C2D"/>
    <w:rsid w:val="00354854"/>
    <w:rsid w:val="003A0AAA"/>
    <w:rsid w:val="003B7447"/>
    <w:rsid w:val="00466FE0"/>
    <w:rsid w:val="00473828"/>
    <w:rsid w:val="004F12C8"/>
    <w:rsid w:val="0053580A"/>
    <w:rsid w:val="00542173"/>
    <w:rsid w:val="00581A0C"/>
    <w:rsid w:val="005D5A5E"/>
    <w:rsid w:val="005F4DD8"/>
    <w:rsid w:val="005F5258"/>
    <w:rsid w:val="00615012"/>
    <w:rsid w:val="00621777"/>
    <w:rsid w:val="00672764"/>
    <w:rsid w:val="00676F7E"/>
    <w:rsid w:val="0068148B"/>
    <w:rsid w:val="006A40C9"/>
    <w:rsid w:val="00705C10"/>
    <w:rsid w:val="007206A3"/>
    <w:rsid w:val="00741C55"/>
    <w:rsid w:val="00753326"/>
    <w:rsid w:val="007E67C2"/>
    <w:rsid w:val="00861BBC"/>
    <w:rsid w:val="00862B1B"/>
    <w:rsid w:val="00866C2A"/>
    <w:rsid w:val="008762B0"/>
    <w:rsid w:val="008A163E"/>
    <w:rsid w:val="008C6FB3"/>
    <w:rsid w:val="008D1734"/>
    <w:rsid w:val="008D6B84"/>
    <w:rsid w:val="008F73AF"/>
    <w:rsid w:val="00902EC6"/>
    <w:rsid w:val="00914F17"/>
    <w:rsid w:val="0094346E"/>
    <w:rsid w:val="00974A84"/>
    <w:rsid w:val="009A0B8B"/>
    <w:rsid w:val="009C3765"/>
    <w:rsid w:val="009C50CD"/>
    <w:rsid w:val="009C6A56"/>
    <w:rsid w:val="009D393D"/>
    <w:rsid w:val="009D444A"/>
    <w:rsid w:val="00A24D8F"/>
    <w:rsid w:val="00A8172C"/>
    <w:rsid w:val="00B129EA"/>
    <w:rsid w:val="00B235DD"/>
    <w:rsid w:val="00B85CA6"/>
    <w:rsid w:val="00BC7B92"/>
    <w:rsid w:val="00BD2F87"/>
    <w:rsid w:val="00C35572"/>
    <w:rsid w:val="00C74A2B"/>
    <w:rsid w:val="00C827EA"/>
    <w:rsid w:val="00C94D3C"/>
    <w:rsid w:val="00CE7EE9"/>
    <w:rsid w:val="00D25D7C"/>
    <w:rsid w:val="00DE2E30"/>
    <w:rsid w:val="00E14891"/>
    <w:rsid w:val="00E620F4"/>
    <w:rsid w:val="00E633A9"/>
    <w:rsid w:val="00F14E1D"/>
    <w:rsid w:val="00F563D0"/>
    <w:rsid w:val="00F5645E"/>
    <w:rsid w:val="00F63CA3"/>
    <w:rsid w:val="00F65CB3"/>
    <w:rsid w:val="00F73642"/>
    <w:rsid w:val="00F9158C"/>
    <w:rsid w:val="00FD6048"/>
    <w:rsid w:val="01C830C4"/>
    <w:rsid w:val="0984572B"/>
    <w:rsid w:val="10254716"/>
    <w:rsid w:val="115506F7"/>
    <w:rsid w:val="1D513432"/>
    <w:rsid w:val="252D57F4"/>
    <w:rsid w:val="28873827"/>
    <w:rsid w:val="2A8E0D57"/>
    <w:rsid w:val="2C6741B5"/>
    <w:rsid w:val="30097CDE"/>
    <w:rsid w:val="46075090"/>
    <w:rsid w:val="5A44728D"/>
    <w:rsid w:val="5AAA1758"/>
    <w:rsid w:val="61EE2CA9"/>
    <w:rsid w:val="6B8E6784"/>
    <w:rsid w:val="6ECE3C40"/>
    <w:rsid w:val="71CD1741"/>
    <w:rsid w:val="782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74581FA-187D-419A-AF3A-C2C21A59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2CE7-56D3-447F-A114-974D88DB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2479</Words>
  <Characters>14136</Characters>
  <Application>Microsoft Office Word</Application>
  <DocSecurity>0</DocSecurity>
  <Lines>117</Lines>
  <Paragraphs>33</Paragraphs>
  <ScaleCrop>false</ScaleCrop>
  <Company/>
  <LinksUpToDate>false</LinksUpToDate>
  <CharactersWithSpaces>16582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14</cp:revision>
  <cp:lastPrinted>2025-12-08T10:36:00Z</cp:lastPrinted>
  <dcterms:created xsi:type="dcterms:W3CDTF">2024-12-07T19:35:00Z</dcterms:created>
  <dcterms:modified xsi:type="dcterms:W3CDTF">2025-12-10T08:33:00Z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A116A4C77172420BAE8A11A6B3BD364F_13</vt:lpwstr>
  </property>
</Properties>
</file>