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67" w:rsidRPr="001D7763" w:rsidRDefault="001D1F67" w:rsidP="000938DB">
      <w:pPr>
        <w:spacing w:after="0"/>
        <w:ind w:right="-180"/>
        <w:jc w:val="center"/>
        <w:outlineLvl w:val="0"/>
        <w:rPr>
          <w:b/>
          <w:bCs/>
          <w:sz w:val="44"/>
          <w:szCs w:val="44"/>
          <w:lang w:val="sr-Latn-CS"/>
        </w:rPr>
      </w:pPr>
      <w:r w:rsidRPr="001D7763">
        <w:rPr>
          <w:noProof/>
        </w:rPr>
        <w:drawing>
          <wp:inline distT="0" distB="0" distL="0" distR="0">
            <wp:extent cx="5381625" cy="1876425"/>
            <wp:effectExtent l="19050" t="0" r="9525" b="0"/>
            <wp:docPr id="5" name="Picture 5" descr="nkp znak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kp znak previ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F67" w:rsidRPr="001D7763" w:rsidRDefault="001D1F67" w:rsidP="001D1F67">
      <w:pPr>
        <w:spacing w:after="0"/>
        <w:ind w:left="720" w:right="539"/>
        <w:jc w:val="center"/>
        <w:outlineLvl w:val="0"/>
        <w:rPr>
          <w:b/>
          <w:bCs/>
          <w:sz w:val="44"/>
          <w:szCs w:val="44"/>
          <w:lang w:val="sr-Latn-CS"/>
        </w:rPr>
      </w:pPr>
    </w:p>
    <w:p w:rsidR="001D1F67" w:rsidRDefault="001D1F67" w:rsidP="001D1F67">
      <w:pPr>
        <w:spacing w:after="0"/>
        <w:ind w:left="720" w:right="539"/>
        <w:jc w:val="center"/>
        <w:outlineLvl w:val="0"/>
        <w:rPr>
          <w:b/>
          <w:bCs/>
          <w:sz w:val="44"/>
          <w:szCs w:val="44"/>
          <w:lang w:val="sr-Latn-CS"/>
        </w:rPr>
      </w:pPr>
    </w:p>
    <w:p w:rsidR="00890707" w:rsidRPr="001D7763" w:rsidRDefault="00890707" w:rsidP="001D1F67">
      <w:pPr>
        <w:spacing w:after="0"/>
        <w:ind w:left="720" w:right="539"/>
        <w:jc w:val="center"/>
        <w:outlineLvl w:val="0"/>
        <w:rPr>
          <w:b/>
          <w:bCs/>
          <w:sz w:val="44"/>
          <w:szCs w:val="44"/>
          <w:lang w:val="sr-Latn-CS"/>
        </w:rPr>
      </w:pPr>
    </w:p>
    <w:p w:rsidR="001D1F67" w:rsidRPr="001D7763" w:rsidRDefault="001D1F67" w:rsidP="001D1F67">
      <w:pPr>
        <w:spacing w:after="0"/>
        <w:ind w:left="720" w:right="539"/>
        <w:jc w:val="center"/>
        <w:outlineLvl w:val="0"/>
        <w:rPr>
          <w:b/>
          <w:bCs/>
          <w:sz w:val="44"/>
          <w:szCs w:val="44"/>
          <w:lang w:val="sr-Latn-CS"/>
        </w:rPr>
      </w:pPr>
    </w:p>
    <w:p w:rsidR="001D1F67" w:rsidRPr="001D7763" w:rsidRDefault="001D1F67" w:rsidP="001D1F67">
      <w:pPr>
        <w:spacing w:after="0"/>
        <w:ind w:left="720" w:right="539"/>
        <w:jc w:val="center"/>
        <w:outlineLvl w:val="0"/>
        <w:rPr>
          <w:b/>
          <w:bCs/>
          <w:sz w:val="44"/>
          <w:szCs w:val="44"/>
          <w:lang w:val="sr-Latn-CS"/>
        </w:rPr>
      </w:pPr>
    </w:p>
    <w:p w:rsidR="001D1F67" w:rsidRPr="001D7763" w:rsidRDefault="001D1F67" w:rsidP="00BA63AA">
      <w:pPr>
        <w:spacing w:after="0"/>
        <w:ind w:right="539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sr-Latn-CS"/>
        </w:rPr>
      </w:pPr>
      <w:r w:rsidRPr="001D7763">
        <w:rPr>
          <w:rFonts w:ascii="Times New Roman" w:hAnsi="Times New Roman" w:cs="Times New Roman"/>
          <w:b/>
          <w:bCs/>
          <w:sz w:val="44"/>
          <w:szCs w:val="44"/>
          <w:lang w:val="sr-Latn-CS"/>
        </w:rPr>
        <w:t>PROGRAM RADA JAVNE UST</w:t>
      </w:r>
      <w:r w:rsidR="00CB6916">
        <w:rPr>
          <w:rFonts w:ascii="Times New Roman" w:hAnsi="Times New Roman" w:cs="Times New Roman"/>
          <w:b/>
          <w:bCs/>
          <w:sz w:val="44"/>
          <w:szCs w:val="44"/>
          <w:lang w:val="sr-Latn-CS"/>
        </w:rPr>
        <w:t>ANOVE NIKŠIĆKO POZORIŠTE ZA 2022</w:t>
      </w:r>
      <w:r w:rsidRPr="001D7763">
        <w:rPr>
          <w:rFonts w:ascii="Times New Roman" w:hAnsi="Times New Roman" w:cs="Times New Roman"/>
          <w:b/>
          <w:bCs/>
          <w:sz w:val="44"/>
          <w:szCs w:val="44"/>
          <w:lang w:val="sr-Latn-CS"/>
        </w:rPr>
        <w:t>. GODINU</w:t>
      </w:r>
    </w:p>
    <w:p w:rsidR="001D1F67" w:rsidRPr="001D7763" w:rsidRDefault="001D1F67" w:rsidP="001D1F67">
      <w:pPr>
        <w:tabs>
          <w:tab w:val="left" w:pos="2325"/>
        </w:tabs>
        <w:spacing w:after="0"/>
        <w:ind w:left="720" w:right="539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sr-Latn-CS"/>
        </w:rPr>
      </w:pPr>
    </w:p>
    <w:p w:rsidR="001D1F67" w:rsidRDefault="001D1F67" w:rsidP="001D1F67">
      <w:pPr>
        <w:spacing w:after="0"/>
        <w:ind w:left="720" w:right="539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sr-Latn-CS"/>
        </w:rPr>
      </w:pPr>
    </w:p>
    <w:p w:rsidR="00890707" w:rsidRPr="001D7763" w:rsidRDefault="00890707" w:rsidP="001D1F67">
      <w:pPr>
        <w:spacing w:after="0"/>
        <w:ind w:left="720" w:right="539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lang w:val="sr-Latn-CS"/>
        </w:rPr>
      </w:pPr>
    </w:p>
    <w:p w:rsidR="001D1F67" w:rsidRPr="001D7763" w:rsidRDefault="001D1F67" w:rsidP="001D1F67">
      <w:pPr>
        <w:spacing w:after="0"/>
        <w:ind w:left="720" w:right="539"/>
        <w:jc w:val="center"/>
        <w:outlineLvl w:val="0"/>
        <w:rPr>
          <w:rFonts w:ascii="Times New Roman" w:hAnsi="Times New Roman" w:cs="Times New Roman"/>
          <w:b/>
          <w:bCs/>
          <w:i/>
          <w:iCs/>
          <w:sz w:val="44"/>
          <w:szCs w:val="44"/>
          <w:lang w:val="sr-Latn-CS"/>
        </w:rPr>
      </w:pPr>
    </w:p>
    <w:p w:rsidR="001D1F67" w:rsidRPr="001D7763" w:rsidRDefault="001D1F67" w:rsidP="001D1F67">
      <w:pPr>
        <w:spacing w:after="0"/>
        <w:ind w:left="720" w:right="539"/>
        <w:jc w:val="center"/>
        <w:outlineLvl w:val="0"/>
        <w:rPr>
          <w:b/>
          <w:bCs/>
          <w:sz w:val="36"/>
          <w:szCs w:val="36"/>
          <w:lang w:val="sr-Latn-CS"/>
        </w:rPr>
      </w:pPr>
    </w:p>
    <w:p w:rsidR="001D1F67" w:rsidRPr="001D7763" w:rsidRDefault="001D1F67" w:rsidP="001D1F67">
      <w:pPr>
        <w:spacing w:after="0"/>
        <w:ind w:left="720" w:right="539"/>
        <w:jc w:val="center"/>
        <w:outlineLvl w:val="0"/>
        <w:rPr>
          <w:b/>
          <w:bCs/>
          <w:sz w:val="36"/>
          <w:szCs w:val="36"/>
          <w:lang w:val="sr-Latn-CS"/>
        </w:rPr>
      </w:pPr>
    </w:p>
    <w:p w:rsidR="001D1F67" w:rsidRDefault="001D1F67" w:rsidP="001D1F67">
      <w:pPr>
        <w:spacing w:after="0"/>
        <w:ind w:left="720" w:right="539"/>
        <w:jc w:val="center"/>
        <w:outlineLvl w:val="0"/>
        <w:rPr>
          <w:b/>
          <w:bCs/>
          <w:sz w:val="36"/>
          <w:szCs w:val="36"/>
          <w:lang w:val="sr-Latn-CS"/>
        </w:rPr>
      </w:pPr>
    </w:p>
    <w:p w:rsidR="00890707" w:rsidRDefault="00890707" w:rsidP="001D1F67">
      <w:pPr>
        <w:spacing w:after="0"/>
        <w:ind w:left="720" w:right="539"/>
        <w:jc w:val="center"/>
        <w:outlineLvl w:val="0"/>
        <w:rPr>
          <w:b/>
          <w:bCs/>
          <w:sz w:val="36"/>
          <w:szCs w:val="36"/>
          <w:lang w:val="sr-Latn-CS"/>
        </w:rPr>
      </w:pPr>
    </w:p>
    <w:p w:rsidR="001D1F67" w:rsidRPr="001D7763" w:rsidRDefault="001D1F67" w:rsidP="001D1F67">
      <w:pPr>
        <w:tabs>
          <w:tab w:val="left" w:pos="2730"/>
        </w:tabs>
        <w:spacing w:after="0"/>
        <w:ind w:left="720" w:right="539"/>
        <w:outlineLvl w:val="0"/>
        <w:rPr>
          <w:b/>
          <w:bCs/>
          <w:sz w:val="36"/>
          <w:szCs w:val="36"/>
          <w:lang w:val="sr-Latn-CS"/>
        </w:rPr>
      </w:pPr>
      <w:r w:rsidRPr="001D7763">
        <w:rPr>
          <w:b/>
          <w:bCs/>
          <w:sz w:val="36"/>
          <w:szCs w:val="36"/>
          <w:lang w:val="sr-Latn-CS"/>
        </w:rPr>
        <w:tab/>
      </w:r>
    </w:p>
    <w:p w:rsidR="001D1F67" w:rsidRPr="001D7763" w:rsidRDefault="001D1F67" w:rsidP="001D1F67">
      <w:pPr>
        <w:spacing w:after="0"/>
        <w:ind w:left="720" w:right="539"/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 xml:space="preserve">Nikšić, </w:t>
      </w:r>
      <w:r w:rsidR="00974AF4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>nove</w:t>
      </w:r>
      <w:bookmarkStart w:id="0" w:name="_GoBack"/>
      <w:bookmarkEnd w:id="0"/>
      <w:r w:rsidR="00381D47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>mbar</w:t>
      </w:r>
      <w:r w:rsidR="00CB6916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 xml:space="preserve"> 2021</w:t>
      </w:r>
      <w:r w:rsidRPr="001D7763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>. godine</w:t>
      </w:r>
    </w:p>
    <w:p w:rsidR="001D1F67" w:rsidRPr="001D7763" w:rsidRDefault="001D1F67" w:rsidP="001D1F67">
      <w:pPr>
        <w:ind w:right="540"/>
        <w:outlineLvl w:val="0"/>
        <w:rPr>
          <w:b/>
          <w:bCs/>
          <w:sz w:val="36"/>
          <w:szCs w:val="36"/>
          <w:lang w:val="sr-Latn-CS"/>
        </w:rPr>
      </w:pPr>
    </w:p>
    <w:p w:rsidR="001D1F67" w:rsidRPr="001D7763" w:rsidRDefault="001D1F67" w:rsidP="001D1F67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Sadržaj:</w:t>
      </w:r>
    </w:p>
    <w:p w:rsidR="001D1F67" w:rsidRPr="001D7763" w:rsidRDefault="001D1F67" w:rsidP="001D1F67">
      <w:pPr>
        <w:ind w:right="540"/>
        <w:outlineLvl w:val="0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</w:p>
    <w:p w:rsidR="001D1F67" w:rsidRPr="001D7763" w:rsidRDefault="001D1F67" w:rsidP="001D1F67">
      <w:pPr>
        <w:ind w:left="720" w:right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</w:p>
    <w:p w:rsidR="001D1F67" w:rsidRPr="001D7763" w:rsidRDefault="001D1F67" w:rsidP="000938DB">
      <w:pPr>
        <w:numPr>
          <w:ilvl w:val="0"/>
          <w:numId w:val="1"/>
        </w:numPr>
        <w:tabs>
          <w:tab w:val="left" w:pos="8640"/>
          <w:tab w:val="left" w:pos="9360"/>
        </w:tabs>
        <w:spacing w:after="0"/>
        <w:ind w:right="-18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Uvod</w:t>
      </w:r>
      <w:r w:rsidRPr="001D7763">
        <w:rPr>
          <w:rFonts w:ascii="Times New Roman" w:hAnsi="Times New Roman" w:cs="Times New Roman"/>
          <w:bCs/>
          <w:sz w:val="32"/>
          <w:szCs w:val="32"/>
          <w:lang w:val="sr-Latn-CS"/>
        </w:rPr>
        <w:t>..............................................................................</w:t>
      </w:r>
      <w:r w:rsidR="00D316E2">
        <w:rPr>
          <w:rFonts w:ascii="Times New Roman" w:hAnsi="Times New Roman" w:cs="Times New Roman"/>
          <w:bCs/>
          <w:sz w:val="32"/>
          <w:szCs w:val="32"/>
          <w:lang w:val="sr-Latn-CS"/>
        </w:rPr>
        <w:t>...</w:t>
      </w:r>
      <w:r w:rsidRPr="001D7763">
        <w:rPr>
          <w:rFonts w:ascii="Times New Roman" w:hAnsi="Times New Roman" w:cs="Times New Roman"/>
          <w:bCs/>
          <w:sz w:val="32"/>
          <w:szCs w:val="32"/>
          <w:lang w:val="sr-Latn-CS"/>
        </w:rPr>
        <w:t>....</w:t>
      </w:r>
      <w:r w:rsidRPr="001D77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2</w:t>
      </w:r>
    </w:p>
    <w:p w:rsidR="001D1F67" w:rsidRPr="001D7763" w:rsidRDefault="001D1F67" w:rsidP="001D1F67">
      <w:pPr>
        <w:ind w:right="540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:rsidR="001D1F67" w:rsidRPr="001D7763" w:rsidRDefault="001D1F67" w:rsidP="001D1F67">
      <w:pPr>
        <w:numPr>
          <w:ilvl w:val="0"/>
          <w:numId w:val="1"/>
        </w:numPr>
        <w:spacing w:after="0"/>
        <w:ind w:right="72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Produkcijska djelatnost</w:t>
      </w:r>
      <w:r w:rsidRPr="001D77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...............................................</w:t>
      </w:r>
      <w:r w:rsidR="00D316E2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</w:t>
      </w:r>
      <w:r w:rsidRPr="001D77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</w:t>
      </w:r>
      <w:r w:rsidR="00D316E2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</w:t>
      </w:r>
      <w:r w:rsidR="000938DB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</w:t>
      </w:r>
      <w:r w:rsidRPr="001D77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</w:t>
      </w:r>
      <w:r w:rsidRPr="001D77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4</w:t>
      </w:r>
    </w:p>
    <w:p w:rsidR="001D1F67" w:rsidRPr="001D7763" w:rsidRDefault="001D1F67" w:rsidP="001D1F67">
      <w:pPr>
        <w:ind w:right="540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:rsidR="001D1F67" w:rsidRPr="001D7763" w:rsidRDefault="001D1F67" w:rsidP="001D1F67">
      <w:pPr>
        <w:numPr>
          <w:ilvl w:val="0"/>
          <w:numId w:val="1"/>
        </w:numPr>
        <w:spacing w:after="0"/>
        <w:ind w:right="-18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„Međunarod</w:t>
      </w:r>
      <w:r w:rsidR="00CB6916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ni festival glumca – Nikšić 2022</w:t>
      </w:r>
      <w:r w:rsidRPr="001D77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“</w:t>
      </w:r>
      <w:r w:rsidRPr="001D77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...........</w:t>
      </w:r>
      <w:r w:rsidR="00D316E2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</w:t>
      </w:r>
      <w:r w:rsidR="00564F2A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</w:t>
      </w:r>
      <w:r w:rsidR="000938DB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</w:t>
      </w:r>
      <w:r w:rsidR="00564F2A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</w:t>
      </w:r>
      <w:r w:rsidRPr="001D77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</w:t>
      </w:r>
      <w:r w:rsidR="00240404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7</w:t>
      </w:r>
    </w:p>
    <w:p w:rsidR="001D1F67" w:rsidRPr="001D7763" w:rsidRDefault="001D1F67" w:rsidP="001D1F67">
      <w:pPr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:rsidR="001D1F67" w:rsidRPr="001D7763" w:rsidRDefault="001D1F67" w:rsidP="001D1F67">
      <w:pPr>
        <w:numPr>
          <w:ilvl w:val="0"/>
          <w:numId w:val="1"/>
        </w:numPr>
        <w:spacing w:after="0"/>
        <w:ind w:right="-18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Filmski</w:t>
      </w:r>
      <w:r w:rsidR="00381D47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,</w:t>
      </w:r>
      <w:r w:rsidRPr="001D77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 xml:space="preserve"> muzički </w:t>
      </w:r>
      <w:r w:rsidR="00381D47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 xml:space="preserve">i drugi umjetnički </w:t>
      </w:r>
      <w:r w:rsidRPr="001D77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repertoari</w:t>
      </w:r>
      <w:r w:rsidR="000938DB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....................</w:t>
      </w:r>
      <w:r w:rsidRPr="001D77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</w:t>
      </w:r>
      <w:r w:rsidR="00240404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8</w:t>
      </w:r>
    </w:p>
    <w:p w:rsidR="001D1F67" w:rsidRPr="00CB6916" w:rsidRDefault="001D1F67" w:rsidP="00CB6916">
      <w:pPr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:rsidR="001D1F67" w:rsidRPr="001D7763" w:rsidRDefault="001D1F67" w:rsidP="001D1F67">
      <w:pPr>
        <w:numPr>
          <w:ilvl w:val="0"/>
          <w:numId w:val="1"/>
        </w:numPr>
        <w:spacing w:after="0"/>
        <w:ind w:right="-18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Izdavačka djelatnost</w:t>
      </w:r>
      <w:r w:rsidRPr="001D77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....................................................</w:t>
      </w:r>
      <w:r w:rsidR="00D316E2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</w:t>
      </w:r>
      <w:r w:rsidRPr="001D77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</w:t>
      </w:r>
      <w:r w:rsidR="00240404" w:rsidRPr="00240404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10</w:t>
      </w:r>
    </w:p>
    <w:p w:rsidR="001D1F67" w:rsidRPr="001D7763" w:rsidRDefault="001D1F67" w:rsidP="001D1F67">
      <w:pPr>
        <w:pStyle w:val="ListParagraph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:rsidR="001D1F67" w:rsidRPr="001D7763" w:rsidRDefault="001D1F67" w:rsidP="001D1F67">
      <w:pPr>
        <w:numPr>
          <w:ilvl w:val="0"/>
          <w:numId w:val="1"/>
        </w:numPr>
        <w:tabs>
          <w:tab w:val="left" w:pos="8910"/>
          <w:tab w:val="left" w:pos="9000"/>
        </w:tabs>
        <w:spacing w:after="0"/>
        <w:ind w:right="-18"/>
        <w:jc w:val="both"/>
        <w:outlineLvl w:val="0"/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Planirana budžetska sredstva sa kvalifikacionom strukturom zaposlenih</w:t>
      </w:r>
      <w:r w:rsidRPr="001D77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.................................................</w:t>
      </w:r>
      <w:r w:rsidR="00D316E2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</w:t>
      </w:r>
      <w:r w:rsidRPr="001D77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</w:t>
      </w:r>
      <w:r w:rsidR="00303395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1</w:t>
      </w:r>
      <w:r w:rsidR="00240404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2</w:t>
      </w:r>
    </w:p>
    <w:p w:rsidR="001D1F67" w:rsidRPr="001D7763" w:rsidRDefault="001D1F67" w:rsidP="001D1F67">
      <w:pPr>
        <w:pStyle w:val="ListParagraph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:rsidR="001D1F67" w:rsidRPr="001D7763" w:rsidRDefault="00CB6916" w:rsidP="001D1F67">
      <w:pPr>
        <w:numPr>
          <w:ilvl w:val="0"/>
          <w:numId w:val="1"/>
        </w:numPr>
        <w:tabs>
          <w:tab w:val="left" w:pos="9072"/>
        </w:tabs>
        <w:spacing w:after="0"/>
        <w:ind w:right="-18"/>
        <w:jc w:val="both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Finansijski plan za 2022</w:t>
      </w:r>
      <w:r w:rsidR="001D1F67" w:rsidRPr="001D77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. godinu</w:t>
      </w:r>
      <w:r w:rsidR="001D1F67" w:rsidRPr="001D77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....................................</w:t>
      </w:r>
      <w:r w:rsidR="00D316E2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....</w:t>
      </w:r>
      <w:r w:rsidR="001D1F67" w:rsidRPr="001D7763">
        <w:rPr>
          <w:rFonts w:ascii="Times New Roman" w:hAnsi="Times New Roman" w:cs="Times New Roman"/>
          <w:bCs/>
          <w:spacing w:val="-6"/>
          <w:sz w:val="32"/>
          <w:szCs w:val="32"/>
          <w:lang w:val="sr-Latn-CS"/>
        </w:rPr>
        <w:t>...</w:t>
      </w:r>
      <w:r w:rsidR="00240404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>13</w:t>
      </w:r>
    </w:p>
    <w:p w:rsidR="001D1F67" w:rsidRPr="001D7763" w:rsidRDefault="001D1F67" w:rsidP="001D1F67">
      <w:pPr>
        <w:pStyle w:val="ListParagraph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</w:p>
    <w:p w:rsidR="001D1F67" w:rsidRPr="001D7763" w:rsidRDefault="001D1F67" w:rsidP="001D1F67">
      <w:pPr>
        <w:numPr>
          <w:ilvl w:val="0"/>
          <w:numId w:val="1"/>
        </w:numPr>
        <w:spacing w:after="0"/>
        <w:ind w:left="1701" w:right="-18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Zaključak</w:t>
      </w:r>
      <w:r w:rsidRPr="001D7763">
        <w:rPr>
          <w:rFonts w:ascii="Times New Roman" w:hAnsi="Times New Roman" w:cs="Times New Roman"/>
          <w:bCs/>
          <w:sz w:val="32"/>
          <w:szCs w:val="32"/>
          <w:lang w:val="sr-Latn-CS"/>
        </w:rPr>
        <w:t>...........................................</w:t>
      </w:r>
      <w:r w:rsidR="00890707">
        <w:rPr>
          <w:rFonts w:ascii="Times New Roman" w:hAnsi="Times New Roman" w:cs="Times New Roman"/>
          <w:bCs/>
          <w:sz w:val="32"/>
          <w:szCs w:val="32"/>
          <w:lang w:val="sr-Latn-CS"/>
        </w:rPr>
        <w:t>.</w:t>
      </w:r>
      <w:r w:rsidRPr="001D7763">
        <w:rPr>
          <w:rFonts w:ascii="Times New Roman" w:hAnsi="Times New Roman" w:cs="Times New Roman"/>
          <w:bCs/>
          <w:sz w:val="32"/>
          <w:szCs w:val="32"/>
          <w:lang w:val="sr-Latn-CS"/>
        </w:rPr>
        <w:t>.</w:t>
      </w:r>
      <w:r w:rsidR="00890707">
        <w:rPr>
          <w:rFonts w:ascii="Times New Roman" w:hAnsi="Times New Roman" w:cs="Times New Roman"/>
          <w:bCs/>
          <w:sz w:val="32"/>
          <w:szCs w:val="32"/>
          <w:lang w:val="sr-Latn-CS"/>
        </w:rPr>
        <w:t>.</w:t>
      </w:r>
      <w:r w:rsidRPr="001D7763">
        <w:rPr>
          <w:rFonts w:ascii="Times New Roman" w:hAnsi="Times New Roman" w:cs="Times New Roman"/>
          <w:bCs/>
          <w:sz w:val="32"/>
          <w:szCs w:val="32"/>
          <w:lang w:val="sr-Latn-CS"/>
        </w:rPr>
        <w:t>.....</w:t>
      </w:r>
      <w:r w:rsidR="00890707">
        <w:rPr>
          <w:rFonts w:ascii="Times New Roman" w:hAnsi="Times New Roman" w:cs="Times New Roman"/>
          <w:bCs/>
          <w:sz w:val="32"/>
          <w:szCs w:val="32"/>
          <w:lang w:val="sr-Latn-CS"/>
        </w:rPr>
        <w:t>.</w:t>
      </w:r>
      <w:r w:rsidRPr="001D7763">
        <w:rPr>
          <w:rFonts w:ascii="Times New Roman" w:hAnsi="Times New Roman" w:cs="Times New Roman"/>
          <w:bCs/>
          <w:sz w:val="32"/>
          <w:szCs w:val="32"/>
          <w:lang w:val="sr-Latn-CS"/>
        </w:rPr>
        <w:t>................</w:t>
      </w:r>
      <w:r w:rsidR="00D316E2">
        <w:rPr>
          <w:rFonts w:ascii="Times New Roman" w:hAnsi="Times New Roman" w:cs="Times New Roman"/>
          <w:bCs/>
          <w:sz w:val="32"/>
          <w:szCs w:val="32"/>
          <w:lang w:val="sr-Latn-CS"/>
        </w:rPr>
        <w:t>....</w:t>
      </w:r>
      <w:r w:rsidRPr="001D7763">
        <w:rPr>
          <w:rFonts w:ascii="Times New Roman" w:hAnsi="Times New Roman" w:cs="Times New Roman"/>
          <w:bCs/>
          <w:sz w:val="32"/>
          <w:szCs w:val="32"/>
          <w:lang w:val="sr-Latn-CS"/>
        </w:rPr>
        <w:t>...</w:t>
      </w:r>
      <w:r w:rsidR="00240404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14</w:t>
      </w:r>
    </w:p>
    <w:p w:rsidR="001D1F67" w:rsidRPr="001D7763" w:rsidRDefault="001D1F67" w:rsidP="001D1F67">
      <w:pPr>
        <w:ind w:left="720"/>
        <w:jc w:val="both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:rsidR="001D1F67" w:rsidRDefault="001D1F67" w:rsidP="001D1F67">
      <w:pPr>
        <w:ind w:left="720"/>
        <w:jc w:val="both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:rsidR="00303395" w:rsidRPr="001D7763" w:rsidRDefault="00303395" w:rsidP="001D1F67">
      <w:pPr>
        <w:ind w:left="720"/>
        <w:jc w:val="both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:rsidR="001D1F67" w:rsidRPr="001D7763" w:rsidRDefault="001D1F67" w:rsidP="00BE0C6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1D7763">
        <w:rPr>
          <w:rFonts w:ascii="Times New Roman" w:hAnsi="Times New Roman" w:cs="Times New Roman"/>
          <w:sz w:val="28"/>
          <w:szCs w:val="28"/>
          <w:lang w:val="sr-Latn-CS"/>
        </w:rPr>
        <w:lastRenderedPageBreak/>
        <w:t xml:space="preserve">Na osnovu člana 26 Zakona o pozorišnoj djelatnosti („Službeni list RCG“, broj 60/01 i „Službeni list CG“, br. 75/10 i 40/11) i člana 32 Statuta Javne ustanove Nikšićko pozorište, Rješenja o davanju saglasnosti, br. 01- 4396 od 18. 06. 2004. god. / br. 01-10319, od 07.11. 2005. god. / br. 01-030-30/3, od 29.12. 2008. god. i br. 01-030-210, od 30.10. 2014. god, direktor Javne ustanove Nikšićko pozorište je </w:t>
      </w:r>
      <w:r w:rsidR="00E60D04">
        <w:rPr>
          <w:rFonts w:ascii="Times New Roman" w:hAnsi="Times New Roman" w:cs="Times New Roman"/>
          <w:sz w:val="28"/>
          <w:szCs w:val="28"/>
        </w:rPr>
        <w:t>1</w:t>
      </w:r>
      <w:r w:rsidR="00DA7415">
        <w:rPr>
          <w:rFonts w:ascii="Times New Roman" w:hAnsi="Times New Roman" w:cs="Times New Roman"/>
          <w:sz w:val="28"/>
          <w:szCs w:val="28"/>
        </w:rPr>
        <w:t>9</w:t>
      </w:r>
      <w:r w:rsidR="00363CB0">
        <w:rPr>
          <w:rFonts w:ascii="Times New Roman" w:hAnsi="Times New Roman" w:cs="Times New Roman"/>
          <w:sz w:val="28"/>
          <w:szCs w:val="28"/>
        </w:rPr>
        <w:t>.1</w:t>
      </w:r>
      <w:r w:rsidR="00E60D04">
        <w:rPr>
          <w:rFonts w:ascii="Times New Roman" w:hAnsi="Times New Roman" w:cs="Times New Roman"/>
          <w:sz w:val="28"/>
          <w:szCs w:val="28"/>
        </w:rPr>
        <w:t>1</w:t>
      </w:r>
      <w:r w:rsidR="00363CB0">
        <w:rPr>
          <w:rFonts w:ascii="Times New Roman" w:hAnsi="Times New Roman" w:cs="Times New Roman"/>
          <w:sz w:val="28"/>
          <w:szCs w:val="28"/>
        </w:rPr>
        <w:t>.</w:t>
      </w:r>
      <w:r w:rsidR="00CB6916">
        <w:rPr>
          <w:rFonts w:ascii="Times New Roman" w:hAnsi="Times New Roman" w:cs="Times New Roman"/>
          <w:sz w:val="28"/>
          <w:szCs w:val="28"/>
          <w:lang w:val="sr-Latn-CS"/>
        </w:rPr>
        <w:t xml:space="preserve"> 2021</w:t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. godine,  p r e d l o ž i o </w:t>
      </w:r>
    </w:p>
    <w:p w:rsidR="001D1F67" w:rsidRPr="001D7763" w:rsidRDefault="001D1F67" w:rsidP="001D1F67">
      <w:pPr>
        <w:jc w:val="both"/>
        <w:rPr>
          <w:rFonts w:ascii="Times New Roman" w:hAnsi="Times New Roman" w:cs="Times New Roman"/>
          <w:lang w:val="sr-Latn-CS"/>
        </w:rPr>
      </w:pPr>
    </w:p>
    <w:p w:rsidR="001D1F67" w:rsidRDefault="001D1F67" w:rsidP="001D1F67">
      <w:pPr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:rsidR="001D1F67" w:rsidRDefault="001D1F67" w:rsidP="001D1F67">
      <w:pPr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:rsidR="001D1F67" w:rsidRPr="001D7763" w:rsidRDefault="001D1F67" w:rsidP="001D1F67">
      <w:pPr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:rsidR="001D1F67" w:rsidRPr="001D7763" w:rsidRDefault="001D1F67" w:rsidP="001D1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PROGRAM RADA </w:t>
      </w:r>
    </w:p>
    <w:p w:rsidR="001D1F67" w:rsidRPr="001D7763" w:rsidRDefault="001D1F67" w:rsidP="001D1F67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iCs/>
          <w:sz w:val="32"/>
          <w:szCs w:val="32"/>
          <w:lang w:val="sr-Latn-CS"/>
        </w:rPr>
        <w:t>JAVNE USTANOVE NIKŠIĆKO POZORIŠTE</w:t>
      </w:r>
    </w:p>
    <w:p w:rsidR="001D1F67" w:rsidRPr="001D7763" w:rsidRDefault="00CB6916" w:rsidP="001D1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ZA 2022</w:t>
      </w:r>
      <w:r w:rsidR="001D1F67" w:rsidRPr="001D77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. GODINU</w:t>
      </w:r>
    </w:p>
    <w:p w:rsidR="001D1F67" w:rsidRPr="001D7763" w:rsidRDefault="001D1F67" w:rsidP="001D1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:rsidR="001D1F67" w:rsidRPr="001D7763" w:rsidRDefault="001D1F67" w:rsidP="001D1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:rsidR="001D1F67" w:rsidRDefault="001D1F67" w:rsidP="001D1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:rsidR="001D1F67" w:rsidRPr="001D7763" w:rsidRDefault="001D1F67" w:rsidP="001D1F6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Uvod</w:t>
      </w:r>
    </w:p>
    <w:p w:rsidR="001D1F67" w:rsidRPr="001D7763" w:rsidRDefault="001D1F67" w:rsidP="001D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F67" w:rsidRPr="001D7763" w:rsidRDefault="001D1F67" w:rsidP="001D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F67" w:rsidRPr="001D7763" w:rsidRDefault="001D1F67" w:rsidP="00BE0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>Nikšićko pozori</w:t>
      </w:r>
      <w:r w:rsidR="00CB6916">
        <w:rPr>
          <w:rFonts w:ascii="Times New Roman" w:hAnsi="Times New Roman" w:cs="Times New Roman"/>
          <w:sz w:val="28"/>
          <w:szCs w:val="28"/>
        </w:rPr>
        <w:t>šte je svoj Program rada za 2022</w:t>
      </w:r>
      <w:r w:rsidRPr="001D77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godinu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>, zbog aktuelne epidemiološke situacije u Crnoj Gori i svijetu,</w:t>
      </w:r>
      <w:r w:rsidR="000260DE">
        <w:rPr>
          <w:rFonts w:ascii="Times New Roman" w:hAnsi="Times New Roman" w:cs="Times New Roman"/>
          <w:sz w:val="28"/>
          <w:szCs w:val="28"/>
        </w:rPr>
        <w:t xml:space="preserve"> planiralo</w:t>
      </w:r>
      <w:r w:rsidRPr="001D7763">
        <w:rPr>
          <w:rFonts w:ascii="Times New Roman" w:hAnsi="Times New Roman" w:cs="Times New Roman"/>
          <w:sz w:val="28"/>
          <w:szCs w:val="28"/>
        </w:rPr>
        <w:t xml:space="preserve"> sa fleksibilnim okvirima, prilagodljivim budućim epidemiološkim prilikama u Crnoj Gori. </w:t>
      </w:r>
    </w:p>
    <w:p w:rsidR="001D1F67" w:rsidRPr="001D7763" w:rsidRDefault="001D1F67" w:rsidP="00BE0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>Program rada za narednu poslovnu godinu plan</w:t>
      </w:r>
      <w:r w:rsidR="000260DE">
        <w:rPr>
          <w:rFonts w:ascii="Times New Roman" w:hAnsi="Times New Roman" w:cs="Times New Roman"/>
          <w:sz w:val="28"/>
          <w:szCs w:val="28"/>
        </w:rPr>
        <w:t xml:space="preserve">iran je da </w:t>
      </w:r>
      <w:r w:rsidR="00381D47">
        <w:rPr>
          <w:rFonts w:ascii="Times New Roman" w:hAnsi="Times New Roman" w:cs="Times New Roman"/>
          <w:sz w:val="28"/>
          <w:szCs w:val="28"/>
        </w:rPr>
        <w:t xml:space="preserve">svojom </w:t>
      </w:r>
      <w:r w:rsidRPr="001D7763">
        <w:rPr>
          <w:rFonts w:ascii="Times New Roman" w:hAnsi="Times New Roman" w:cs="Times New Roman"/>
          <w:sz w:val="28"/>
          <w:szCs w:val="28"/>
        </w:rPr>
        <w:t>koncepcijom značajan</w:t>
      </w:r>
      <w:r w:rsidR="00381D47">
        <w:rPr>
          <w:rFonts w:ascii="Times New Roman" w:hAnsi="Times New Roman" w:cs="Times New Roman"/>
          <w:sz w:val="28"/>
          <w:szCs w:val="28"/>
        </w:rPr>
        <w:t>o doprine</w:t>
      </w:r>
      <w:r w:rsidRPr="001D7763">
        <w:rPr>
          <w:rFonts w:ascii="Times New Roman" w:hAnsi="Times New Roman" w:cs="Times New Roman"/>
          <w:sz w:val="28"/>
          <w:szCs w:val="28"/>
        </w:rPr>
        <w:t>s</w:t>
      </w:r>
      <w:r w:rsidR="00381D47">
        <w:rPr>
          <w:rFonts w:ascii="Times New Roman" w:hAnsi="Times New Roman" w:cs="Times New Roman"/>
          <w:sz w:val="28"/>
          <w:szCs w:val="28"/>
        </w:rPr>
        <w:t>e</w:t>
      </w:r>
      <w:r w:rsidRPr="001D7763">
        <w:rPr>
          <w:rFonts w:ascii="Times New Roman" w:hAnsi="Times New Roman" w:cs="Times New Roman"/>
          <w:sz w:val="28"/>
          <w:szCs w:val="28"/>
        </w:rPr>
        <w:t xml:space="preserve"> daljem institucionalnom jačanju ustanova </w:t>
      </w:r>
      <w:r w:rsidRPr="001D7763">
        <w:rPr>
          <w:rFonts w:ascii="Times New Roman" w:hAnsi="Times New Roman" w:cs="Times New Roman"/>
          <w:sz w:val="28"/>
          <w:szCs w:val="28"/>
        </w:rPr>
        <w:lastRenderedPageBreak/>
        <w:t xml:space="preserve">kulture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lokalnog nivoa i njihovoj uspješnijoj međusobnoj i saradnji sa istim ili srodnim institucijama u Crnoj Gori i regionu.</w:t>
      </w:r>
    </w:p>
    <w:p w:rsidR="001D1F67" w:rsidRPr="001D7763" w:rsidRDefault="00317EBC" w:rsidP="00BE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Programske</w:t>
      </w:r>
      <w:r w:rsidR="001D1F67" w:rsidRPr="001D7763">
        <w:rPr>
          <w:rFonts w:ascii="Times New Roman" w:hAnsi="Times New Roman" w:cs="Times New Roman"/>
          <w:sz w:val="28"/>
          <w:szCs w:val="28"/>
        </w:rPr>
        <w:t xml:space="preserve"> aktivnosti odvijaće se kroz redovne mjesečne repertoare iz četiri produkcije: pozorišne, filmske, muzičke i </w:t>
      </w:r>
      <w:r w:rsidR="001D1F67">
        <w:rPr>
          <w:rFonts w:ascii="Times New Roman" w:hAnsi="Times New Roman" w:cs="Times New Roman"/>
          <w:sz w:val="28"/>
          <w:szCs w:val="28"/>
        </w:rPr>
        <w:t>i</w:t>
      </w:r>
      <w:r w:rsidR="001D1F67" w:rsidRPr="001D7763">
        <w:rPr>
          <w:rFonts w:ascii="Times New Roman" w:hAnsi="Times New Roman" w:cs="Times New Roman"/>
          <w:sz w:val="28"/>
          <w:szCs w:val="28"/>
        </w:rPr>
        <w:t xml:space="preserve">zdavačke. Tom poslovnom politikom, Pozorište </w:t>
      </w:r>
      <w:proofErr w:type="gramStart"/>
      <w:r w:rsidR="001D1F67" w:rsidRPr="001D7763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="001D1F67" w:rsidRPr="001D7763">
        <w:rPr>
          <w:rFonts w:ascii="Times New Roman" w:hAnsi="Times New Roman" w:cs="Times New Roman"/>
          <w:sz w:val="28"/>
          <w:szCs w:val="28"/>
        </w:rPr>
        <w:t xml:space="preserve"> odgovoriti na sve izraženije zahtjeve publike za različitim sadržajima kulture bliskim dramskoj umjetnosti. Istovremeno, tako osmišljenom programskom koncepcijom, Ustanova </w:t>
      </w:r>
      <w:proofErr w:type="gramStart"/>
      <w:r w:rsidR="001D1F67" w:rsidRPr="001D7763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="001D1F67" w:rsidRPr="001D7763">
        <w:rPr>
          <w:rFonts w:ascii="Times New Roman" w:hAnsi="Times New Roman" w:cs="Times New Roman"/>
          <w:sz w:val="28"/>
          <w:szCs w:val="28"/>
        </w:rPr>
        <w:t xml:space="preserve"> </w:t>
      </w:r>
      <w:r w:rsidR="00033275">
        <w:rPr>
          <w:rFonts w:ascii="Times New Roman" w:hAnsi="Times New Roman" w:cs="Times New Roman"/>
          <w:sz w:val="28"/>
          <w:szCs w:val="28"/>
        </w:rPr>
        <w:t xml:space="preserve">nastaviti kontinuitet iz prethodnih pet godina kada je na godišnjem nivou, u prosjeku realizovala 130 do 140 sadržaja, i dodatno </w:t>
      </w:r>
      <w:r w:rsidR="001D1F67" w:rsidRPr="001D7763">
        <w:rPr>
          <w:rFonts w:ascii="Times New Roman" w:hAnsi="Times New Roman" w:cs="Times New Roman"/>
          <w:sz w:val="28"/>
          <w:szCs w:val="28"/>
        </w:rPr>
        <w:t>obogatiti kulturnu mapu grada i doprinijeti aktuelnom kulturološkom identitetu Crne Gore van njenih granica.</w:t>
      </w:r>
    </w:p>
    <w:p w:rsidR="001D1F67" w:rsidRPr="001D7763" w:rsidRDefault="001D1F67" w:rsidP="00BE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ab/>
        <w:t>Prioritet u radu biće insce</w:t>
      </w:r>
      <w:r w:rsidR="00CB6916">
        <w:rPr>
          <w:rFonts w:ascii="Times New Roman" w:hAnsi="Times New Roman" w:cs="Times New Roman"/>
          <w:sz w:val="28"/>
          <w:szCs w:val="28"/>
        </w:rPr>
        <w:t>nacija novih dramskih djela na večernjoj i d</w:t>
      </w:r>
      <w:r w:rsidRPr="001D7763">
        <w:rPr>
          <w:rFonts w:ascii="Times New Roman" w:hAnsi="Times New Roman" w:cs="Times New Roman"/>
          <w:sz w:val="28"/>
          <w:szCs w:val="28"/>
        </w:rPr>
        <w:t xml:space="preserve">ječijoj sceni, koja će osvježiti produkciju Nikšićkog pozorišta i značajno doprinijeti unapređenju pozorišne umjetnosti u gradu, ali i institucionalnom  jačanju </w:t>
      </w:r>
      <w:r>
        <w:rPr>
          <w:rFonts w:ascii="Times New Roman" w:hAnsi="Times New Roman" w:cs="Times New Roman"/>
          <w:sz w:val="28"/>
          <w:szCs w:val="28"/>
        </w:rPr>
        <w:t>u</w:t>
      </w:r>
      <w:r w:rsidR="00C904D9">
        <w:rPr>
          <w:rFonts w:ascii="Times New Roman" w:hAnsi="Times New Roman" w:cs="Times New Roman"/>
          <w:sz w:val="28"/>
          <w:szCs w:val="28"/>
        </w:rPr>
        <w:t>stanove i njenoj, projektovanoj</w:t>
      </w:r>
      <w:r w:rsidRPr="001D7763">
        <w:rPr>
          <w:rFonts w:ascii="Times New Roman" w:hAnsi="Times New Roman" w:cs="Times New Roman"/>
          <w:sz w:val="28"/>
          <w:szCs w:val="28"/>
        </w:rPr>
        <w:t xml:space="preserve"> transformaciji iz producentskog u teatar gradskog tipa sa statusom redovnog repertoarskog pozorišta.</w:t>
      </w:r>
    </w:p>
    <w:p w:rsidR="001D1F67" w:rsidRPr="001D7763" w:rsidRDefault="001D1F67" w:rsidP="00BE0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>„Međunarodni festival glumca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“ je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značajan segment produkcije i </w:t>
      </w:r>
      <w:r>
        <w:rPr>
          <w:rFonts w:ascii="Times New Roman" w:hAnsi="Times New Roman" w:cs="Times New Roman"/>
          <w:sz w:val="28"/>
          <w:szCs w:val="28"/>
        </w:rPr>
        <w:t>pozorišne orije</w:t>
      </w:r>
      <w:r w:rsidR="00CB691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tacije</w:t>
      </w:r>
      <w:r w:rsidRPr="001D7763">
        <w:rPr>
          <w:rFonts w:ascii="Times New Roman" w:hAnsi="Times New Roman" w:cs="Times New Roman"/>
          <w:sz w:val="28"/>
          <w:szCs w:val="28"/>
        </w:rPr>
        <w:t xml:space="preserve"> Nikšićkog pozorišta, budući da je riječ o jedinstvenoj i jasno profilisanoj pozorišnoj smotri ne samo u Crnoj Gori, već i u zemljama regiona, u kojima</w:t>
      </w:r>
      <w:r w:rsidR="00CB6916">
        <w:rPr>
          <w:rFonts w:ascii="Times New Roman" w:hAnsi="Times New Roman" w:cs="Times New Roman"/>
          <w:sz w:val="28"/>
          <w:szCs w:val="28"/>
        </w:rPr>
        <w:t xml:space="preserve"> nakon dosadašnjih uspješnih sedam</w:t>
      </w:r>
      <w:r w:rsidRPr="001D7763">
        <w:rPr>
          <w:rFonts w:ascii="Times New Roman" w:hAnsi="Times New Roman" w:cs="Times New Roman"/>
          <w:sz w:val="28"/>
          <w:szCs w:val="28"/>
        </w:rPr>
        <w:t>naest izdanja uživa zavidnu reputaciju.</w:t>
      </w:r>
    </w:p>
    <w:p w:rsidR="001D1F67" w:rsidRPr="001D7763" w:rsidRDefault="001D1F67" w:rsidP="00BE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ab/>
        <w:t>Projektima izdavačke</w:t>
      </w:r>
      <w:r w:rsidR="007E335B">
        <w:rPr>
          <w:rFonts w:ascii="Times New Roman" w:hAnsi="Times New Roman" w:cs="Times New Roman"/>
          <w:sz w:val="28"/>
          <w:szCs w:val="28"/>
        </w:rPr>
        <w:t xml:space="preserve"> djelatnosti težićemo da doprine</w:t>
      </w:r>
      <w:r w:rsidRPr="001D7763">
        <w:rPr>
          <w:rFonts w:ascii="Times New Roman" w:hAnsi="Times New Roman" w:cs="Times New Roman"/>
          <w:sz w:val="28"/>
          <w:szCs w:val="28"/>
        </w:rPr>
        <w:t xml:space="preserve">semo podizanju svijesti o značaju dramske umjetnosti u društvu i približavanju pozorišne produkcije publici, što je bila i ranija praksa zbog čega je Pozorište u Nikšiću bilo u rangu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te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produkcije sa nacionalnim teatrima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63">
        <w:rPr>
          <w:rFonts w:ascii="Times New Roman" w:hAnsi="Times New Roman" w:cs="Times New Roman"/>
          <w:sz w:val="28"/>
          <w:szCs w:val="28"/>
        </w:rPr>
        <w:t xml:space="preserve">u Podgorici i Cetinju. </w:t>
      </w:r>
    </w:p>
    <w:p w:rsidR="001D1F67" w:rsidRPr="001D7763" w:rsidRDefault="001D1F67" w:rsidP="00BE0C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 xml:space="preserve">Pozorište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kao suorganizator omogućiti i upriličiti i realizaciju drugih kulturno - umjetničkih sadržaja u saradnji sa pozorišnim i drugim </w:t>
      </w:r>
      <w:r>
        <w:rPr>
          <w:rFonts w:ascii="Times New Roman" w:hAnsi="Times New Roman" w:cs="Times New Roman"/>
          <w:sz w:val="28"/>
          <w:szCs w:val="28"/>
        </w:rPr>
        <w:t xml:space="preserve">subjektima iz oblasti </w:t>
      </w:r>
      <w:r w:rsidRPr="001D7763">
        <w:rPr>
          <w:rFonts w:ascii="Times New Roman" w:hAnsi="Times New Roman" w:cs="Times New Roman"/>
          <w:sz w:val="28"/>
          <w:szCs w:val="28"/>
        </w:rPr>
        <w:t>kulture iz Nikšića, Crne Gore i zemalja regiona</w:t>
      </w:r>
      <w:r>
        <w:rPr>
          <w:rFonts w:ascii="Times New Roman" w:hAnsi="Times New Roman" w:cs="Times New Roman"/>
          <w:sz w:val="28"/>
          <w:szCs w:val="28"/>
        </w:rPr>
        <w:t>, uključujući i NVO sektor</w:t>
      </w:r>
      <w:r w:rsidRPr="001D7763">
        <w:rPr>
          <w:rFonts w:ascii="Times New Roman" w:hAnsi="Times New Roman" w:cs="Times New Roman"/>
          <w:sz w:val="28"/>
          <w:szCs w:val="28"/>
        </w:rPr>
        <w:t>.</w:t>
      </w:r>
    </w:p>
    <w:p w:rsidR="001D1F67" w:rsidRPr="001D7763" w:rsidRDefault="001D1F67" w:rsidP="00BE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Program rada koncipiran je sa ciljem da se ostvari javni interes grada, što se oslanja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na  činjenicu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da je prethodnih godina rad Pozorišta pratilo oko 40 000 gledalaca godišnje. Realizacija Programom predviđenih planova bazirana je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finansijskoj podršci osnivača - Opštine Nikšić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7763">
        <w:rPr>
          <w:rFonts w:ascii="Times New Roman" w:hAnsi="Times New Roman" w:cs="Times New Roman"/>
          <w:sz w:val="28"/>
          <w:szCs w:val="28"/>
        </w:rPr>
        <w:t xml:space="preserve">Ministarstva </w:t>
      </w:r>
      <w:r>
        <w:rPr>
          <w:rFonts w:ascii="Times New Roman" w:hAnsi="Times New Roman" w:cs="Times New Roman"/>
          <w:sz w:val="28"/>
          <w:szCs w:val="28"/>
        </w:rPr>
        <w:t>kulture, kao i iz</w:t>
      </w:r>
      <w:r w:rsidRPr="001D7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sopstvenih prihoda.</w:t>
      </w:r>
    </w:p>
    <w:p w:rsidR="001D1F67" w:rsidRDefault="001D1F67" w:rsidP="001D1F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F67" w:rsidRPr="001D7763" w:rsidRDefault="001D1F67" w:rsidP="001D1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763">
        <w:rPr>
          <w:rFonts w:ascii="Times New Roman" w:hAnsi="Times New Roman" w:cs="Times New Roman"/>
          <w:b/>
          <w:sz w:val="32"/>
          <w:szCs w:val="32"/>
        </w:rPr>
        <w:t>Produkcijska djelatnost</w:t>
      </w:r>
    </w:p>
    <w:p w:rsidR="00BE0C65" w:rsidRDefault="001D1F67" w:rsidP="001D1F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763">
        <w:rPr>
          <w:rFonts w:ascii="Times New Roman" w:hAnsi="Times New Roman" w:cs="Times New Roman"/>
          <w:b/>
          <w:sz w:val="28"/>
          <w:szCs w:val="28"/>
        </w:rPr>
        <w:tab/>
      </w:r>
    </w:p>
    <w:p w:rsidR="00BE0C65" w:rsidRDefault="00BE0C65" w:rsidP="001D1F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F67" w:rsidRPr="001D7763" w:rsidRDefault="001D1F67" w:rsidP="00BE0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 xml:space="preserve">Polazeći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svoje osnovne djelatnosti, Pozorište planira da iz sopstvene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1D7763">
        <w:rPr>
          <w:rFonts w:ascii="Times New Roman" w:hAnsi="Times New Roman" w:cs="Times New Roman"/>
          <w:sz w:val="28"/>
          <w:szCs w:val="28"/>
        </w:rPr>
        <w:t>gostujuće produkcije nastavi redovn</w:t>
      </w:r>
      <w:r w:rsidR="00363CB0">
        <w:rPr>
          <w:rFonts w:ascii="Times New Roman" w:hAnsi="Times New Roman" w:cs="Times New Roman"/>
          <w:sz w:val="28"/>
          <w:szCs w:val="28"/>
        </w:rPr>
        <w:t>e</w:t>
      </w:r>
      <w:r w:rsidRPr="001D7763">
        <w:rPr>
          <w:rFonts w:ascii="Times New Roman" w:hAnsi="Times New Roman" w:cs="Times New Roman"/>
          <w:sz w:val="28"/>
          <w:szCs w:val="28"/>
        </w:rPr>
        <w:t xml:space="preserve"> mjesečn</w:t>
      </w:r>
      <w:r w:rsidR="00363CB0">
        <w:rPr>
          <w:rFonts w:ascii="Times New Roman" w:hAnsi="Times New Roman" w:cs="Times New Roman"/>
          <w:sz w:val="28"/>
          <w:szCs w:val="28"/>
        </w:rPr>
        <w:t>e</w:t>
      </w:r>
      <w:r w:rsidRPr="001D7763">
        <w:rPr>
          <w:rFonts w:ascii="Times New Roman" w:hAnsi="Times New Roman" w:cs="Times New Roman"/>
          <w:sz w:val="28"/>
          <w:szCs w:val="28"/>
        </w:rPr>
        <w:t xml:space="preserve"> repertoar</w:t>
      </w:r>
      <w:r w:rsidR="00363CB0">
        <w:rPr>
          <w:rFonts w:ascii="Times New Roman" w:hAnsi="Times New Roman" w:cs="Times New Roman"/>
          <w:sz w:val="28"/>
          <w:szCs w:val="28"/>
        </w:rPr>
        <w:t>e</w:t>
      </w:r>
      <w:r w:rsidRPr="001D7763">
        <w:rPr>
          <w:rFonts w:ascii="Times New Roman" w:hAnsi="Times New Roman" w:cs="Times New Roman"/>
          <w:sz w:val="28"/>
          <w:szCs w:val="28"/>
        </w:rPr>
        <w:t>, koj</w:t>
      </w:r>
      <w:r w:rsidR="00363CB0">
        <w:rPr>
          <w:rFonts w:ascii="Times New Roman" w:hAnsi="Times New Roman" w:cs="Times New Roman"/>
          <w:sz w:val="28"/>
          <w:szCs w:val="28"/>
        </w:rPr>
        <w:t>i</w:t>
      </w:r>
      <w:r w:rsidRPr="001D7763">
        <w:rPr>
          <w:rFonts w:ascii="Times New Roman" w:hAnsi="Times New Roman" w:cs="Times New Roman"/>
          <w:sz w:val="28"/>
          <w:szCs w:val="28"/>
        </w:rPr>
        <w:t xml:space="preserve"> će uz dramske naslove upotpuniti i sadržajima iz muzičke, filmske i izdavačke produkcije. Predviđena je realizacija dvanaest (12) do petnaest (15) programa mjesečno, što odgovora sve većim zahtjevima publike za raznovrsnijim repertoarskim konceptom. </w:t>
      </w:r>
    </w:p>
    <w:p w:rsidR="00381D47" w:rsidRDefault="001D1F67" w:rsidP="00BE0C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ab/>
        <w:t xml:space="preserve">Nastavljajući postprodukciju predstava iz sopstvene - ranije i nove produkcije kroz gostovanja i festivalske nastupe tih naslova, Pozorište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na najbolji način afirmisati sopstveni potencijal i unaprijediti već postojeću saradnju sa teatrima u zemlji i regionu. Gostovanjem u drugim centrima otvaraju se mogućnosti za razmjenu programa, kao i koprodukcijskom principu saradnje, što u savremenim teatrima sve više postaje standard, a ne samo potreba.</w:t>
      </w:r>
    </w:p>
    <w:p w:rsidR="001D1F67" w:rsidRDefault="001D1F67" w:rsidP="00BE0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>Prioriteti u radu Pozorišta tokom naredne godine ogledaće se u scenskoj pos</w:t>
      </w:r>
      <w:r w:rsidR="00CB6916">
        <w:rPr>
          <w:rFonts w:ascii="Times New Roman" w:hAnsi="Times New Roman" w:cs="Times New Roman"/>
          <w:sz w:val="28"/>
          <w:szCs w:val="28"/>
        </w:rPr>
        <w:t>tavci premijernih projekata za v</w:t>
      </w:r>
      <w:r w:rsidRPr="001D7763">
        <w:rPr>
          <w:rFonts w:ascii="Times New Roman" w:hAnsi="Times New Roman" w:cs="Times New Roman"/>
          <w:sz w:val="28"/>
          <w:szCs w:val="28"/>
        </w:rPr>
        <w:t xml:space="preserve">ečernju i scenu za djecu i mlade. Planirani programi organizovaće se u skladu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epidemio</w:t>
      </w:r>
      <w:r w:rsidR="007E335B">
        <w:rPr>
          <w:rFonts w:ascii="Times New Roman" w:hAnsi="Times New Roman" w:cs="Times New Roman"/>
          <w:sz w:val="28"/>
          <w:szCs w:val="28"/>
        </w:rPr>
        <w:t>loškim prilikama</w:t>
      </w:r>
      <w:r w:rsidRPr="001D7763">
        <w:rPr>
          <w:rFonts w:ascii="Times New Roman" w:hAnsi="Times New Roman" w:cs="Times New Roman"/>
          <w:sz w:val="28"/>
          <w:szCs w:val="28"/>
        </w:rPr>
        <w:t>. Planirana pr</w:t>
      </w:r>
      <w:r w:rsidR="00CB6916">
        <w:rPr>
          <w:rFonts w:ascii="Times New Roman" w:hAnsi="Times New Roman" w:cs="Times New Roman"/>
          <w:sz w:val="28"/>
          <w:szCs w:val="28"/>
        </w:rPr>
        <w:t xml:space="preserve">emijera pozorišne predstave </w:t>
      </w:r>
      <w:proofErr w:type="gramStart"/>
      <w:r w:rsidR="00CB6916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CB6916">
        <w:rPr>
          <w:rFonts w:ascii="Times New Roman" w:hAnsi="Times New Roman" w:cs="Times New Roman"/>
          <w:sz w:val="28"/>
          <w:szCs w:val="28"/>
        </w:rPr>
        <w:t xml:space="preserve"> v</w:t>
      </w:r>
      <w:r w:rsidRPr="001D7763">
        <w:rPr>
          <w:rFonts w:ascii="Times New Roman" w:hAnsi="Times New Roman" w:cs="Times New Roman"/>
          <w:sz w:val="28"/>
          <w:szCs w:val="28"/>
        </w:rPr>
        <w:t xml:space="preserve">ečernjoj sceni realizovaće se iz opredijeljenih budžetskih sredstava Osnivača i podrške resornog Ministarstva, prema sljedećoj finansijskoj konstrukciji. </w:t>
      </w:r>
    </w:p>
    <w:p w:rsidR="00BA63AA" w:rsidRDefault="00BA63AA" w:rsidP="00BE0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116"/>
        <w:tblW w:w="9072" w:type="dxa"/>
        <w:tblLayout w:type="fixed"/>
        <w:tblLook w:val="04A0" w:firstRow="1" w:lastRow="0" w:firstColumn="1" w:lastColumn="0" w:noHBand="0" w:noVBand="1"/>
      </w:tblPr>
      <w:tblGrid>
        <w:gridCol w:w="738"/>
        <w:gridCol w:w="6775"/>
        <w:gridCol w:w="1559"/>
      </w:tblGrid>
      <w:tr w:rsidR="00BA63AA" w:rsidRPr="001D7763" w:rsidTr="00BA63AA">
        <w:trPr>
          <w:trHeight w:val="1008"/>
        </w:trPr>
        <w:tc>
          <w:tcPr>
            <w:tcW w:w="9072" w:type="dxa"/>
            <w:gridSpan w:val="3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b/>
                <w:sz w:val="28"/>
                <w:szCs w:val="28"/>
              </w:rPr>
              <w:t>PREDLOG FINANSIJSKE KONSTRUKCIJE PREMIJERE POZORIŠNE PREDSTAVE NA VEČERNJOJ SCENI</w:t>
            </w:r>
          </w:p>
        </w:tc>
      </w:tr>
      <w:tr w:rsidR="00BA63AA" w:rsidRPr="001D7763" w:rsidTr="00BA63AA">
        <w:trPr>
          <w:trHeight w:val="1040"/>
        </w:trPr>
        <w:tc>
          <w:tcPr>
            <w:tcW w:w="738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Autorski honorar za tekst i režiju</w:t>
            </w:r>
          </w:p>
        </w:tc>
        <w:tc>
          <w:tcPr>
            <w:tcW w:w="1559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.000,00€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38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Autorski honorar za idejna rješenja i izrada scenografije</w:t>
            </w:r>
          </w:p>
        </w:tc>
        <w:tc>
          <w:tcPr>
            <w:tcW w:w="1559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38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Autorski honorar za idejna rješenja kostimografije i izrada kostima</w:t>
            </w:r>
          </w:p>
        </w:tc>
        <w:tc>
          <w:tcPr>
            <w:tcW w:w="1559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38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Autorski honorar za muziku i studijsko snimanje</w:t>
            </w:r>
          </w:p>
        </w:tc>
        <w:tc>
          <w:tcPr>
            <w:tcW w:w="1559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38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Honorari glumcima za pripremu predstave</w:t>
            </w:r>
          </w:p>
        </w:tc>
        <w:tc>
          <w:tcPr>
            <w:tcW w:w="1559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.500,00€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38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Hotelski smještaj i ishrana protagonista predstave</w:t>
            </w:r>
          </w:p>
        </w:tc>
        <w:tc>
          <w:tcPr>
            <w:tcW w:w="1559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3.500,00€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38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Troškovi prevoza članova ansambla</w:t>
            </w:r>
          </w:p>
        </w:tc>
        <w:tc>
          <w:tcPr>
            <w:tcW w:w="1559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1.000,00€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38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Propagandno – reklamni materijal i grafičko oblikovanje</w:t>
            </w:r>
          </w:p>
        </w:tc>
        <w:tc>
          <w:tcPr>
            <w:tcW w:w="1559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38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Prateći troškovi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(reprezentacija, snimanje predstave i sl.)</w:t>
            </w:r>
          </w:p>
        </w:tc>
        <w:tc>
          <w:tcPr>
            <w:tcW w:w="1559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500,00€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38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:rsidR="00BA63AA" w:rsidRPr="001D77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Porezi i prirezi i bankarske provizije</w:t>
            </w:r>
          </w:p>
        </w:tc>
        <w:tc>
          <w:tcPr>
            <w:tcW w:w="1559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38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5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b/>
                <w:sz w:val="28"/>
                <w:szCs w:val="28"/>
              </w:rPr>
              <w:t>Ukupno:</w:t>
            </w:r>
          </w:p>
        </w:tc>
        <w:tc>
          <w:tcPr>
            <w:tcW w:w="1559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D77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D7763">
              <w:rPr>
                <w:rFonts w:ascii="Times New Roman" w:hAnsi="Times New Roman" w:cs="Times New Roman"/>
                <w:b/>
                <w:sz w:val="28"/>
                <w:szCs w:val="28"/>
              </w:rPr>
              <w:t>00,00€</w:t>
            </w:r>
          </w:p>
        </w:tc>
      </w:tr>
    </w:tbl>
    <w:p w:rsidR="00BA63AA" w:rsidRDefault="00BA63AA" w:rsidP="00BE0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39D" w:rsidRDefault="00F0539D" w:rsidP="00BE0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 xml:space="preserve">Dugoročni planovi Pozorišta usmjereni su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njegovanju edukativno- zabavnih programa namijenjenih najmlađoj populaciji. U Programu rada za 2021.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godinu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>, zacrtana je reali</w:t>
      </w:r>
      <w:r w:rsidR="00CB6916">
        <w:rPr>
          <w:rFonts w:ascii="Times New Roman" w:hAnsi="Times New Roman" w:cs="Times New Roman"/>
          <w:sz w:val="28"/>
          <w:szCs w:val="28"/>
        </w:rPr>
        <w:t>zacija premijernog projekta za d</w:t>
      </w:r>
      <w:r w:rsidRPr="001D7763">
        <w:rPr>
          <w:rFonts w:ascii="Times New Roman" w:hAnsi="Times New Roman" w:cs="Times New Roman"/>
          <w:sz w:val="28"/>
          <w:szCs w:val="28"/>
        </w:rPr>
        <w:t xml:space="preserve">ječiju i scenu za mlade. </w:t>
      </w:r>
    </w:p>
    <w:p w:rsidR="00BA63AA" w:rsidRDefault="00BA63AA" w:rsidP="00BE0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621"/>
        <w:tblW w:w="893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592"/>
      </w:tblGrid>
      <w:tr w:rsidR="00BA63AA" w:rsidRPr="001D7763" w:rsidTr="00BA63AA">
        <w:trPr>
          <w:trHeight w:val="1152"/>
        </w:trPr>
        <w:tc>
          <w:tcPr>
            <w:tcW w:w="8930" w:type="dxa"/>
            <w:gridSpan w:val="3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PREDLOG FINANSIJSKE KONSTRUKCIJE PREMIJERE PREDSTAVE ZA DJECU U KOPRODUKCIJI (1/2 INVESTICIJE)</w:t>
            </w:r>
          </w:p>
        </w:tc>
      </w:tr>
      <w:tr w:rsidR="00BA63AA" w:rsidRPr="001D7763" w:rsidTr="00BA63AA">
        <w:trPr>
          <w:trHeight w:val="720"/>
        </w:trPr>
        <w:tc>
          <w:tcPr>
            <w:tcW w:w="675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Autorski honorar za tekst i režiju</w:t>
            </w:r>
          </w:p>
        </w:tc>
        <w:tc>
          <w:tcPr>
            <w:tcW w:w="1592" w:type="dxa"/>
            <w:vAlign w:val="center"/>
          </w:tcPr>
          <w:p w:rsidR="00BA63AA" w:rsidRPr="00A55202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2.000,00€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675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Autorski honorar za scenografiju i izradu scenografije</w:t>
            </w:r>
          </w:p>
        </w:tc>
        <w:tc>
          <w:tcPr>
            <w:tcW w:w="1592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1.500,00€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675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Autorski honorar za kostimografiju i izrada kostima</w:t>
            </w:r>
          </w:p>
        </w:tc>
        <w:tc>
          <w:tcPr>
            <w:tcW w:w="1592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1.500,00€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675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Autorski honorar za muziku</w:t>
            </w:r>
          </w:p>
        </w:tc>
        <w:tc>
          <w:tcPr>
            <w:tcW w:w="1592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500,00€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675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Honorari glumcima za pripremu predstave (po osnovu ugovora)</w:t>
            </w:r>
          </w:p>
        </w:tc>
        <w:tc>
          <w:tcPr>
            <w:tcW w:w="1592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3.000,00€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675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 xml:space="preserve">Propagandno – reklamni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material, vizuelni identitet i snimanje predstave</w:t>
            </w:r>
          </w:p>
        </w:tc>
        <w:tc>
          <w:tcPr>
            <w:tcW w:w="1592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1.100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675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 xml:space="preserve">Putni troškovi glumaca </w:t>
            </w:r>
          </w:p>
        </w:tc>
        <w:tc>
          <w:tcPr>
            <w:tcW w:w="1592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300,00€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675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Prateći troškovi</w:t>
            </w:r>
          </w:p>
        </w:tc>
        <w:tc>
          <w:tcPr>
            <w:tcW w:w="1592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400,00€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675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Porezi i prirezi i bankarske provizije</w:t>
            </w:r>
          </w:p>
        </w:tc>
        <w:tc>
          <w:tcPr>
            <w:tcW w:w="1592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600,00€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675" w:type="dxa"/>
            <w:vAlign w:val="center"/>
          </w:tcPr>
          <w:p w:rsidR="00BA63AA" w:rsidRPr="001D7763" w:rsidRDefault="00BA63AA" w:rsidP="00BA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b/>
                <w:sz w:val="28"/>
                <w:szCs w:val="28"/>
              </w:rPr>
              <w:t>Ukupno:</w:t>
            </w:r>
          </w:p>
        </w:tc>
        <w:tc>
          <w:tcPr>
            <w:tcW w:w="1592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D7763">
              <w:rPr>
                <w:rFonts w:ascii="Times New Roman" w:hAnsi="Times New Roman" w:cs="Times New Roman"/>
                <w:b/>
                <w:sz w:val="28"/>
                <w:szCs w:val="28"/>
              </w:rPr>
              <w:t>00,00€</w:t>
            </w:r>
          </w:p>
        </w:tc>
      </w:tr>
    </w:tbl>
    <w:p w:rsidR="00BA63AA" w:rsidRDefault="00BA63AA" w:rsidP="00BE0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63AA" w:rsidRDefault="00BA63AA" w:rsidP="00BE0C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9D" w:rsidRPr="001D7763" w:rsidRDefault="00F0539D" w:rsidP="00BA6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 xml:space="preserve">Za premijeru predstave za djecu finansijska sredstva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biti obezbijeđena kroz koprodukcijsku saradnju sa pozorišnim kućama ili drugim producentskim ustanovama iz države, po partnerskom principu, po 50% ulaganja. Obavezujući dio finansijske konstrukcije prikazan je u tabelarnom pregledu.</w:t>
      </w:r>
    </w:p>
    <w:p w:rsidR="00F0539D" w:rsidRPr="001D7763" w:rsidRDefault="00F0539D" w:rsidP="00F0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AA" w:rsidRDefault="00F0539D" w:rsidP="00BA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1D7763">
        <w:rPr>
          <w:rFonts w:ascii="Times New Roman" w:hAnsi="Times New Roman" w:cs="Times New Roman"/>
          <w:sz w:val="28"/>
          <w:szCs w:val="28"/>
        </w:rPr>
        <w:t xml:space="preserve">remijernim projektima, kao i ranijom produkcijom, planiraju se gostovanja na scenama u Crnoj Gori i festivalska prezentacija, što će dodatno obogatiti aktivnosti Pozorišta. </w:t>
      </w:r>
    </w:p>
    <w:p w:rsidR="00F0539D" w:rsidRPr="001D7763" w:rsidRDefault="00F0539D" w:rsidP="00BA6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lastRenderedPageBreak/>
        <w:t xml:space="preserve">Određeni programi mjesečnih repertoara, posebno iz pozorišne produkcije, biće realizovani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komercijalnim osnovama, što Pozorištu stvara sopstvene prihode kao jedan od izvora finansiranja sopstvene djelatnosti.</w:t>
      </w:r>
    </w:p>
    <w:p w:rsidR="00381D47" w:rsidRDefault="00381D47" w:rsidP="00F0539D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63AA" w:rsidRDefault="00BA63AA" w:rsidP="00F0539D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539D" w:rsidRPr="001D7763" w:rsidRDefault="00F0539D" w:rsidP="00F0539D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763">
        <w:rPr>
          <w:rFonts w:ascii="Times New Roman" w:hAnsi="Times New Roman" w:cs="Times New Roman"/>
          <w:b/>
          <w:sz w:val="32"/>
          <w:szCs w:val="32"/>
        </w:rPr>
        <w:t>„Međunarod</w:t>
      </w:r>
      <w:r w:rsidR="00AA6E9B">
        <w:rPr>
          <w:rFonts w:ascii="Times New Roman" w:hAnsi="Times New Roman" w:cs="Times New Roman"/>
          <w:b/>
          <w:sz w:val="32"/>
          <w:szCs w:val="32"/>
        </w:rPr>
        <w:t>ni festival glumca – Nikšić 2022</w:t>
      </w:r>
      <w:r w:rsidRPr="001D7763">
        <w:rPr>
          <w:rFonts w:ascii="Times New Roman" w:hAnsi="Times New Roman" w:cs="Times New Roman"/>
          <w:b/>
          <w:sz w:val="32"/>
          <w:szCs w:val="32"/>
        </w:rPr>
        <w:t>“</w:t>
      </w:r>
    </w:p>
    <w:p w:rsidR="00BA63AA" w:rsidRPr="001D7763" w:rsidRDefault="00BA63AA" w:rsidP="00F0539D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07223" w:rsidRPr="001D7763" w:rsidRDefault="00F0539D" w:rsidP="00BE0C65">
      <w:pPr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 xml:space="preserve">Značajan segment rada Nikšićkog pozorišta odnosi se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organizovanje i realizovanje </w:t>
      </w:r>
      <w:r w:rsidR="00B713FC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63">
        <w:rPr>
          <w:rFonts w:ascii="Times New Roman" w:hAnsi="Times New Roman" w:cs="Times New Roman"/>
          <w:sz w:val="28"/>
          <w:szCs w:val="28"/>
        </w:rPr>
        <w:t>Međunarod</w:t>
      </w:r>
      <w:r w:rsidR="00B713FC">
        <w:rPr>
          <w:rFonts w:ascii="Times New Roman" w:hAnsi="Times New Roman" w:cs="Times New Roman"/>
          <w:sz w:val="28"/>
          <w:szCs w:val="28"/>
        </w:rPr>
        <w:t>nog festivala glumca</w:t>
      </w:r>
      <w:r w:rsidR="00556CAC">
        <w:rPr>
          <w:rFonts w:ascii="Times New Roman" w:hAnsi="Times New Roman" w:cs="Times New Roman"/>
          <w:sz w:val="28"/>
          <w:szCs w:val="28"/>
        </w:rPr>
        <w:t>, teatarske</w:t>
      </w:r>
      <w:r w:rsidRPr="001D7763">
        <w:rPr>
          <w:rFonts w:ascii="Times New Roman" w:hAnsi="Times New Roman" w:cs="Times New Roman"/>
          <w:sz w:val="28"/>
          <w:szCs w:val="28"/>
        </w:rPr>
        <w:t xml:space="preserve"> svetkovine koja ima zavidnu reputaciju i mjesto </w:t>
      </w:r>
      <w:proofErr w:type="gramStart"/>
      <w:r w:rsidR="00556CAC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556CAC">
        <w:rPr>
          <w:rFonts w:ascii="Times New Roman" w:hAnsi="Times New Roman" w:cs="Times New Roman"/>
          <w:sz w:val="28"/>
          <w:szCs w:val="28"/>
        </w:rPr>
        <w:t xml:space="preserve"> </w:t>
      </w:r>
      <w:r w:rsidRPr="001D7763">
        <w:rPr>
          <w:rFonts w:ascii="Times New Roman" w:hAnsi="Times New Roman" w:cs="Times New Roman"/>
          <w:sz w:val="28"/>
          <w:szCs w:val="28"/>
        </w:rPr>
        <w:t>crnogorskoj i r</w:t>
      </w:r>
      <w:r w:rsidR="00556CAC">
        <w:rPr>
          <w:rFonts w:ascii="Times New Roman" w:hAnsi="Times New Roman" w:cs="Times New Roman"/>
          <w:sz w:val="28"/>
          <w:szCs w:val="28"/>
        </w:rPr>
        <w:t>egionalnoj pozorišnoj sceni</w:t>
      </w:r>
      <w:r w:rsidR="00107223" w:rsidRPr="001D7763">
        <w:rPr>
          <w:rFonts w:ascii="Times New Roman" w:hAnsi="Times New Roman" w:cs="Times New Roman"/>
          <w:sz w:val="28"/>
          <w:szCs w:val="28"/>
        </w:rPr>
        <w:t xml:space="preserve">. </w:t>
      </w:r>
      <w:r w:rsidR="00CB6916">
        <w:rPr>
          <w:rFonts w:ascii="Times New Roman" w:hAnsi="Times New Roman" w:cs="Times New Roman"/>
          <w:sz w:val="28"/>
          <w:szCs w:val="28"/>
        </w:rPr>
        <w:t xml:space="preserve">Dosada je Festival održavan u period krajem novembra. Planiramo da u saradnji </w:t>
      </w:r>
      <w:proofErr w:type="gramStart"/>
      <w:r w:rsidR="00CB6916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="00CB6916">
        <w:rPr>
          <w:rFonts w:ascii="Times New Roman" w:hAnsi="Times New Roman" w:cs="Times New Roman"/>
          <w:sz w:val="28"/>
          <w:szCs w:val="28"/>
        </w:rPr>
        <w:t xml:space="preserve"> pokroviteljima termin održavanja Festivala pomjerimo za neki raniji period (recimo oktobar) zbog smanjenja troškova </w:t>
      </w:r>
      <w:r w:rsidR="00B713FC">
        <w:rPr>
          <w:rFonts w:ascii="Times New Roman" w:hAnsi="Times New Roman" w:cs="Times New Roman"/>
          <w:sz w:val="28"/>
          <w:szCs w:val="28"/>
        </w:rPr>
        <w:t>i</w:t>
      </w:r>
      <w:r w:rsidR="00CB6916">
        <w:rPr>
          <w:rFonts w:ascii="Times New Roman" w:hAnsi="Times New Roman" w:cs="Times New Roman"/>
          <w:sz w:val="28"/>
          <w:szCs w:val="28"/>
        </w:rPr>
        <w:t xml:space="preserve"> tehničkih olakšica. </w:t>
      </w:r>
    </w:p>
    <w:p w:rsidR="00107223" w:rsidRPr="001D7763" w:rsidRDefault="00107223" w:rsidP="00BE0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 xml:space="preserve">Kontinuitet u održavanju Festivala glumca je imperativ programske orijentacije Nikšićkog pozorišta, s obzirom da su njegova prethodna izdanja bila u duhu osobene estetike i poetike,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</w:t>
      </w:r>
      <w:r w:rsidR="00363CB0">
        <w:rPr>
          <w:rFonts w:ascii="Times New Roman" w:hAnsi="Times New Roman" w:cs="Times New Roman"/>
          <w:sz w:val="28"/>
          <w:szCs w:val="28"/>
        </w:rPr>
        <w:t>konstantnom</w:t>
      </w:r>
      <w:r w:rsidRPr="001D7763">
        <w:rPr>
          <w:rFonts w:ascii="Times New Roman" w:hAnsi="Times New Roman" w:cs="Times New Roman"/>
          <w:sz w:val="28"/>
          <w:szCs w:val="28"/>
        </w:rPr>
        <w:t xml:space="preserve"> intencijom organizatora i pokrovitelja da se svaka naredna festivalska smotra postavi na još veći nivo.</w:t>
      </w:r>
    </w:p>
    <w:p w:rsidR="00107223" w:rsidRDefault="00B713FC" w:rsidP="00BE0C65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Realizacija 18.</w:t>
      </w:r>
      <w:r w:rsidR="00107223" w:rsidRPr="001D7763">
        <w:rPr>
          <w:rFonts w:ascii="Times New Roman" w:hAnsi="Times New Roman" w:cs="Times New Roman"/>
          <w:sz w:val="28"/>
          <w:szCs w:val="28"/>
        </w:rPr>
        <w:t xml:space="preserve"> Međunarodnog</w:t>
      </w:r>
      <w:r w:rsidR="00AA6E9B">
        <w:rPr>
          <w:rFonts w:ascii="Times New Roman" w:hAnsi="Times New Roman" w:cs="Times New Roman"/>
          <w:sz w:val="28"/>
          <w:szCs w:val="28"/>
        </w:rPr>
        <w:t xml:space="preserve"> festivala glumca – Nikšić 2022</w:t>
      </w:r>
      <w:r w:rsidR="00107223" w:rsidRPr="001D7763">
        <w:rPr>
          <w:rFonts w:ascii="Times New Roman" w:hAnsi="Times New Roman" w:cs="Times New Roman"/>
          <w:sz w:val="28"/>
          <w:szCs w:val="28"/>
        </w:rPr>
        <w:t xml:space="preserve"> planira se iz finansijskih sredstava Ministarstva </w:t>
      </w:r>
      <w:r w:rsidR="00107223">
        <w:rPr>
          <w:rFonts w:ascii="Times New Roman" w:hAnsi="Times New Roman" w:cs="Times New Roman"/>
          <w:sz w:val="28"/>
          <w:szCs w:val="28"/>
        </w:rPr>
        <w:t>k</w:t>
      </w:r>
      <w:r w:rsidR="00107223" w:rsidRPr="001D7763">
        <w:rPr>
          <w:rFonts w:ascii="Times New Roman" w:hAnsi="Times New Roman" w:cs="Times New Roman"/>
          <w:sz w:val="28"/>
          <w:szCs w:val="28"/>
        </w:rPr>
        <w:t xml:space="preserve">ulture, apliciranjem </w:t>
      </w:r>
      <w:proofErr w:type="gramStart"/>
      <w:r w:rsidR="00107223" w:rsidRPr="001D7763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="00107223" w:rsidRPr="001D7763">
        <w:rPr>
          <w:rFonts w:ascii="Times New Roman" w:hAnsi="Times New Roman" w:cs="Times New Roman"/>
          <w:sz w:val="28"/>
          <w:szCs w:val="28"/>
        </w:rPr>
        <w:t xml:space="preserve"> </w:t>
      </w:r>
      <w:r w:rsidR="00363CB0">
        <w:rPr>
          <w:rFonts w:ascii="Times New Roman" w:hAnsi="Times New Roman" w:cs="Times New Roman"/>
          <w:sz w:val="28"/>
          <w:szCs w:val="28"/>
        </w:rPr>
        <w:t>K</w:t>
      </w:r>
      <w:r w:rsidR="00107223" w:rsidRPr="001D7763">
        <w:rPr>
          <w:rFonts w:ascii="Times New Roman" w:hAnsi="Times New Roman" w:cs="Times New Roman"/>
          <w:sz w:val="28"/>
          <w:szCs w:val="28"/>
        </w:rPr>
        <w:t>onkurs</w:t>
      </w:r>
      <w:r w:rsidR="00363CB0">
        <w:rPr>
          <w:rFonts w:ascii="Times New Roman" w:hAnsi="Times New Roman" w:cs="Times New Roman"/>
          <w:sz w:val="28"/>
          <w:szCs w:val="28"/>
        </w:rPr>
        <w:t>u</w:t>
      </w:r>
      <w:r w:rsidR="00107223" w:rsidRPr="001D7763">
        <w:rPr>
          <w:rFonts w:ascii="Times New Roman" w:hAnsi="Times New Roman" w:cs="Times New Roman"/>
          <w:sz w:val="28"/>
          <w:szCs w:val="28"/>
        </w:rPr>
        <w:t xml:space="preserve"> za sufinansiranje festivala i manifestacija od posebnog značaja za nacionalnu kulturu. Drugi dio neophodnih sredstava biće obezbijeđen iz Budžeta osnivača – Opštine Nikšić. Finansijska konstrukcija Festivala </w:t>
      </w:r>
      <w:r w:rsidR="00107223">
        <w:rPr>
          <w:rFonts w:ascii="Times New Roman" w:hAnsi="Times New Roman" w:cs="Times New Roman"/>
          <w:sz w:val="28"/>
          <w:szCs w:val="28"/>
        </w:rPr>
        <w:t xml:space="preserve">planira se prema sljedećem </w:t>
      </w:r>
      <w:r w:rsidR="00107223" w:rsidRPr="001D7763">
        <w:rPr>
          <w:rFonts w:ascii="Times New Roman" w:hAnsi="Times New Roman" w:cs="Times New Roman"/>
          <w:sz w:val="28"/>
          <w:szCs w:val="28"/>
        </w:rPr>
        <w:t>tabelarnom pregledu</w:t>
      </w:r>
      <w:r w:rsidR="00107223">
        <w:rPr>
          <w:rFonts w:ascii="Times New Roman" w:hAnsi="Times New Roman" w:cs="Times New Roman"/>
          <w:sz w:val="28"/>
          <w:szCs w:val="28"/>
        </w:rPr>
        <w:t>.</w:t>
      </w:r>
      <w:r w:rsidR="00107223" w:rsidRPr="001D7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3AA" w:rsidRPr="001D7763" w:rsidRDefault="00BA63AA" w:rsidP="00BE0C65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291"/>
        <w:tblW w:w="8931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843"/>
      </w:tblGrid>
      <w:tr w:rsidR="00BA63AA" w:rsidRPr="001D7763" w:rsidTr="00BA63AA">
        <w:trPr>
          <w:trHeight w:val="1008"/>
        </w:trPr>
        <w:tc>
          <w:tcPr>
            <w:tcW w:w="8931" w:type="dxa"/>
            <w:gridSpan w:val="3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FINANSIJSKA KONSTRUKCIJA XVII „MEĐUNARODNOG FESTIVALA GLUMCA – NIKŠIĆ 2021“</w:t>
            </w:r>
          </w:p>
        </w:tc>
      </w:tr>
      <w:tr w:rsidR="00BA63AA" w:rsidRPr="001D7763" w:rsidTr="00BA63AA">
        <w:trPr>
          <w:trHeight w:val="720"/>
        </w:trPr>
        <w:tc>
          <w:tcPr>
            <w:tcW w:w="709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63AA" w:rsidRPr="001D77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Festivalski program – repertoar (6 predstava)</w:t>
            </w:r>
          </w:p>
        </w:tc>
        <w:tc>
          <w:tcPr>
            <w:tcW w:w="1843" w:type="dxa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14.500,00€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09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63AA" w:rsidRPr="001D77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Festivalske nagrade</w:t>
            </w:r>
          </w:p>
        </w:tc>
        <w:tc>
          <w:tcPr>
            <w:tcW w:w="1843" w:type="dxa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09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63AA" w:rsidRPr="001D77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Honorari žiriju Festivala, moderatoru…</w:t>
            </w:r>
          </w:p>
        </w:tc>
        <w:tc>
          <w:tcPr>
            <w:tcW w:w="1843" w:type="dxa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5.000,00€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09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63AA" w:rsidRPr="001D77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Hotelski smještaj i ishrana učesnika Festivala</w:t>
            </w:r>
          </w:p>
        </w:tc>
        <w:tc>
          <w:tcPr>
            <w:tcW w:w="1843" w:type="dxa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09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63AA" w:rsidRPr="001D77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Idejno rješenje – vizuelni identitet i štampanje reklamnog materijala</w:t>
            </w:r>
          </w:p>
        </w:tc>
        <w:tc>
          <w:tcPr>
            <w:tcW w:w="1843" w:type="dxa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2.500,00€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09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63AA" w:rsidRPr="001D77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Bilteni Festivala i festivalski broj časopisa „Pozorište“</w:t>
            </w:r>
          </w:p>
        </w:tc>
        <w:tc>
          <w:tcPr>
            <w:tcW w:w="1843" w:type="dxa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900,00€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09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63AA" w:rsidRPr="001D77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Prevoz učesnika Festivala (avio i ostali prevozi)</w:t>
            </w:r>
          </w:p>
        </w:tc>
        <w:tc>
          <w:tcPr>
            <w:tcW w:w="1843" w:type="dxa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2.000,00€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09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63AA" w:rsidRPr="001D77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Prateći troškovi (reprezentacija u klubu Pozorišta, troškovi goriva, telefoni...)</w:t>
            </w:r>
          </w:p>
        </w:tc>
        <w:tc>
          <w:tcPr>
            <w:tcW w:w="1843" w:type="dxa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2.000,00€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09" w:type="dxa"/>
            <w:vAlign w:val="center"/>
          </w:tcPr>
          <w:p w:rsidR="00BA63AA" w:rsidRPr="001D7763" w:rsidRDefault="00BA63AA" w:rsidP="00BA63AA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63AA" w:rsidRPr="001D7763" w:rsidRDefault="00BA63AA" w:rsidP="00BA63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Porezi i prirezi na Ugovore o djelu i bankarske provizije</w:t>
            </w:r>
          </w:p>
        </w:tc>
        <w:tc>
          <w:tcPr>
            <w:tcW w:w="1843" w:type="dxa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D7763">
              <w:rPr>
                <w:rFonts w:ascii="Times New Roman" w:hAnsi="Times New Roman" w:cs="Times New Roman"/>
                <w:sz w:val="28"/>
                <w:szCs w:val="28"/>
              </w:rPr>
              <w:t>00,00€</w:t>
            </w:r>
          </w:p>
        </w:tc>
      </w:tr>
      <w:tr w:rsidR="00BA63AA" w:rsidRPr="001D7763" w:rsidTr="00BA63AA">
        <w:trPr>
          <w:trHeight w:val="720"/>
        </w:trPr>
        <w:tc>
          <w:tcPr>
            <w:tcW w:w="709" w:type="dxa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BA63AA" w:rsidRPr="001D7763" w:rsidRDefault="00BA63AA" w:rsidP="00BA63A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b/>
                <w:sz w:val="28"/>
                <w:szCs w:val="28"/>
              </w:rPr>
              <w:t>Ukupno:</w:t>
            </w:r>
          </w:p>
        </w:tc>
        <w:tc>
          <w:tcPr>
            <w:tcW w:w="1843" w:type="dxa"/>
            <w:vAlign w:val="center"/>
          </w:tcPr>
          <w:p w:rsidR="00BA63AA" w:rsidRPr="001D7763" w:rsidRDefault="00BA63AA" w:rsidP="00BA63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63"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D7763">
              <w:rPr>
                <w:rFonts w:ascii="Times New Roman" w:hAnsi="Times New Roman" w:cs="Times New Roman"/>
                <w:b/>
                <w:sz w:val="28"/>
                <w:szCs w:val="28"/>
              </w:rPr>
              <w:t>00,00€</w:t>
            </w:r>
          </w:p>
        </w:tc>
      </w:tr>
    </w:tbl>
    <w:p w:rsidR="00BA63AA" w:rsidRDefault="00BA63AA" w:rsidP="00107223">
      <w:pPr>
        <w:jc w:val="both"/>
      </w:pPr>
    </w:p>
    <w:p w:rsidR="00BA63AA" w:rsidRDefault="00BA63AA" w:rsidP="00107223">
      <w:pPr>
        <w:jc w:val="both"/>
      </w:pPr>
    </w:p>
    <w:p w:rsidR="00107223" w:rsidRPr="001D7763" w:rsidRDefault="00107223" w:rsidP="00BA63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763">
        <w:rPr>
          <w:rFonts w:ascii="Times New Roman" w:hAnsi="Times New Roman" w:cs="Times New Roman"/>
          <w:b/>
          <w:sz w:val="32"/>
          <w:szCs w:val="32"/>
        </w:rPr>
        <w:t>Filmski</w:t>
      </w:r>
      <w:r w:rsidR="00BE0C65">
        <w:rPr>
          <w:rFonts w:ascii="Times New Roman" w:hAnsi="Times New Roman" w:cs="Times New Roman"/>
          <w:b/>
          <w:sz w:val="32"/>
          <w:szCs w:val="32"/>
        </w:rPr>
        <w:t>,</w:t>
      </w:r>
      <w:r w:rsidRPr="001D7763">
        <w:rPr>
          <w:rFonts w:ascii="Times New Roman" w:hAnsi="Times New Roman" w:cs="Times New Roman"/>
          <w:b/>
          <w:sz w:val="32"/>
          <w:szCs w:val="32"/>
        </w:rPr>
        <w:t xml:space="preserve"> muzički</w:t>
      </w:r>
      <w:r w:rsidR="00BE0C65">
        <w:rPr>
          <w:rFonts w:ascii="Times New Roman" w:hAnsi="Times New Roman" w:cs="Times New Roman"/>
          <w:b/>
          <w:sz w:val="32"/>
          <w:szCs w:val="32"/>
        </w:rPr>
        <w:t xml:space="preserve"> i drugi umjetnički</w:t>
      </w:r>
      <w:r w:rsidRPr="001D7763">
        <w:rPr>
          <w:rFonts w:ascii="Times New Roman" w:hAnsi="Times New Roman" w:cs="Times New Roman"/>
          <w:b/>
          <w:sz w:val="32"/>
          <w:szCs w:val="32"/>
        </w:rPr>
        <w:t xml:space="preserve"> repertoari</w:t>
      </w:r>
    </w:p>
    <w:p w:rsidR="00107223" w:rsidRPr="001D7763" w:rsidRDefault="00107223" w:rsidP="001072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3" w:rsidRPr="001D7763" w:rsidRDefault="00107223" w:rsidP="0010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ab/>
        <w:t xml:space="preserve">Repertoar Pozorišta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mjesečnim nivoima, osim predstava sačinjavaće i projekcije filmova domaće i strane kinematografije, kao i muzički programi i naslovi izdavačke djelatnosti. U suorganizaciji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drugim ustanovama i istaknutim umjetnicima i NVO sektorima realizovaće se i sadržaji iz oblasti:</w:t>
      </w:r>
      <w:r w:rsidR="00B713FC">
        <w:rPr>
          <w:rFonts w:ascii="Times New Roman" w:hAnsi="Times New Roman" w:cs="Times New Roman"/>
          <w:sz w:val="28"/>
          <w:szCs w:val="28"/>
        </w:rPr>
        <w:t xml:space="preserve"> književnosti, muzike i likovne</w:t>
      </w:r>
      <w:r w:rsidRPr="001D7763">
        <w:rPr>
          <w:rFonts w:ascii="Times New Roman" w:hAnsi="Times New Roman" w:cs="Times New Roman"/>
          <w:sz w:val="28"/>
          <w:szCs w:val="28"/>
        </w:rPr>
        <w:t xml:space="preserve"> umjetnosti.</w:t>
      </w:r>
      <w:r w:rsidRPr="001D7763">
        <w:rPr>
          <w:rFonts w:ascii="Times New Roman" w:hAnsi="Times New Roman" w:cs="Times New Roman"/>
          <w:sz w:val="28"/>
          <w:szCs w:val="28"/>
        </w:rPr>
        <w:tab/>
      </w:r>
    </w:p>
    <w:p w:rsidR="00107223" w:rsidRPr="001D7763" w:rsidRDefault="00107223" w:rsidP="0010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lastRenderedPageBreak/>
        <w:t xml:space="preserve">Filmski program je utemeljen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čvrsto uspostavljenoj saradnji Pozorišta sa Crnogorskom kinotekom</w:t>
      </w:r>
      <w:r w:rsidR="00B713FC">
        <w:rPr>
          <w:rFonts w:ascii="Times New Roman" w:hAnsi="Times New Roman" w:cs="Times New Roman"/>
          <w:sz w:val="28"/>
          <w:szCs w:val="28"/>
        </w:rPr>
        <w:t xml:space="preserve"> i Filmskim centrum Crne Gore</w:t>
      </w:r>
      <w:r w:rsidRPr="001D7763">
        <w:rPr>
          <w:rFonts w:ascii="Times New Roman" w:hAnsi="Times New Roman" w:cs="Times New Roman"/>
          <w:sz w:val="28"/>
          <w:szCs w:val="28"/>
        </w:rPr>
        <w:t xml:space="preserve">. Ovim djelokrugom rada publici pružamo uvid u nacionalnu i svjetsku filmsku baštinu. Takođe - tradicionalno ostvaruje se izvanredna saradnja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Delegacijom evropske unije kroz značajnu godišnju manifestaciju „Dani evropskog filma u Crnoj Gori“. U okviru ove manifestacije predviđeno je prikazivanje des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D7763">
        <w:rPr>
          <w:rFonts w:ascii="Times New Roman" w:hAnsi="Times New Roman" w:cs="Times New Roman"/>
          <w:sz w:val="28"/>
          <w:szCs w:val="28"/>
        </w:rPr>
        <w:t xml:space="preserve">t (10) filmskih ostvarenja vrhunskih produkcija evropskih zemalja. </w:t>
      </w:r>
    </w:p>
    <w:p w:rsidR="00107223" w:rsidRPr="001D7763" w:rsidRDefault="00107223" w:rsidP="0010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>Filmski repertoar biće upotpunjen poznatim i drugim producentskim naslovima iz cijelog svijeta. Ovaj segmen</w:t>
      </w:r>
      <w:r w:rsidR="004B6149">
        <w:rPr>
          <w:rFonts w:ascii="Times New Roman" w:hAnsi="Times New Roman" w:cs="Times New Roman"/>
          <w:sz w:val="28"/>
          <w:szCs w:val="28"/>
        </w:rPr>
        <w:t xml:space="preserve">t filmskog programa oslanja se </w:t>
      </w:r>
      <w:r w:rsidRPr="001D7763">
        <w:rPr>
          <w:rFonts w:ascii="Times New Roman" w:hAnsi="Times New Roman" w:cs="Times New Roman"/>
          <w:sz w:val="28"/>
          <w:szCs w:val="28"/>
        </w:rPr>
        <w:t xml:space="preserve">na </w:t>
      </w:r>
      <w:r w:rsidR="004B6149">
        <w:rPr>
          <w:rFonts w:ascii="Times New Roman" w:hAnsi="Times New Roman" w:cs="Times New Roman"/>
          <w:sz w:val="28"/>
          <w:szCs w:val="28"/>
        </w:rPr>
        <w:t xml:space="preserve">uspostavljenu </w:t>
      </w:r>
      <w:r w:rsidRPr="001D7763">
        <w:rPr>
          <w:rFonts w:ascii="Times New Roman" w:hAnsi="Times New Roman" w:cs="Times New Roman"/>
          <w:sz w:val="28"/>
          <w:szCs w:val="28"/>
        </w:rPr>
        <w:t>saradnju lokalne uprave i naše ustanove sa stranim ambasadama u Crnoj Gori kroz projekte - „Dani filma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“ ili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„Nedjelja filma“. Sve filmske projekcije u naznačenim segmentima prikazaće se uz slobodan pristup publike, za</w:t>
      </w:r>
      <w:r w:rsidR="00B713FC">
        <w:rPr>
          <w:rFonts w:ascii="Times New Roman" w:hAnsi="Times New Roman" w:cs="Times New Roman"/>
          <w:sz w:val="28"/>
          <w:szCs w:val="28"/>
        </w:rPr>
        <w:t xml:space="preserve">to </w:t>
      </w:r>
      <w:r w:rsidRPr="001D7763">
        <w:rPr>
          <w:rFonts w:ascii="Times New Roman" w:hAnsi="Times New Roman" w:cs="Times New Roman"/>
          <w:sz w:val="28"/>
          <w:szCs w:val="28"/>
        </w:rPr>
        <w:t>što je u Nikšićkom pozorištu, iz godine u godinu, evidentno sve veće interesovanje i prisu</w:t>
      </w:r>
      <w:r w:rsidR="00B713FC">
        <w:rPr>
          <w:rFonts w:ascii="Times New Roman" w:hAnsi="Times New Roman" w:cs="Times New Roman"/>
          <w:sz w:val="28"/>
          <w:szCs w:val="28"/>
        </w:rPr>
        <w:t xml:space="preserve">stvo ljubitelja ove umjetnosti. </w:t>
      </w:r>
      <w:r w:rsidRPr="001D7763">
        <w:rPr>
          <w:rFonts w:ascii="Times New Roman" w:hAnsi="Times New Roman" w:cs="Times New Roman"/>
          <w:sz w:val="28"/>
          <w:szCs w:val="28"/>
        </w:rPr>
        <w:t xml:space="preserve">Pozorište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istovremeno na svom filmskom repertoaru imati i filmske premijere igranih filmova sa jedinstvenog govornog područja, čije će prikazivanje biti na komercijalnim osnovama. Istovremeno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63">
        <w:rPr>
          <w:rFonts w:ascii="Times New Roman" w:hAnsi="Times New Roman" w:cs="Times New Roman"/>
          <w:sz w:val="28"/>
          <w:szCs w:val="28"/>
        </w:rPr>
        <w:t>u dnevnim terminima prikazivaće se animirani filmovi za djecu u 3D tehnologiji.</w:t>
      </w:r>
    </w:p>
    <w:p w:rsidR="00107223" w:rsidRPr="001D7763" w:rsidRDefault="00107223" w:rsidP="0010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 xml:space="preserve"> Uspješnim modelom saradnje sa ovlašćenim distributerom za filmsku produkciju Podgorica-film, konstantno se doprinosi omasovljavanju bioskopske publike, i solidnoj komercijalnoj valorizaciji ovih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programskih  aktivnosti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>.</w:t>
      </w:r>
    </w:p>
    <w:p w:rsidR="00107223" w:rsidRPr="001D7763" w:rsidRDefault="00107223" w:rsidP="0010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 xml:space="preserve">Tokom godine publika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imati u ponudi i raznovrsne muzičke sadržaje. Muzički dio programa realizovaće se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osnovama dosadašnje uspješne saradnje sa Muzičkim centrom Crne Gore, Crnogorskim simfonijskim orkestrom, renomiranim festivalima, ali i sa eminentnim muzičkim grupama, solistima i drugim afirmisanim umjetnicima sa muzičke scene. Veći broj programa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biti realizovan uz slobodan pristup publike, a ostale će pratiti komercijalni aranžmani.</w:t>
      </w:r>
    </w:p>
    <w:p w:rsidR="00107223" w:rsidRPr="001D7763" w:rsidRDefault="00107223" w:rsidP="0010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ab/>
        <w:t xml:space="preserve">Pozorište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pružiti potrebnu stručnu i logističku pomoć prilikom organizovanja humanitarnih koncerata.</w:t>
      </w:r>
    </w:p>
    <w:p w:rsidR="00107223" w:rsidRPr="001D7763" w:rsidRDefault="00107223" w:rsidP="001072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ab/>
        <w:t xml:space="preserve">Unapređujući saradnju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drugim ustanovama kulture u Nikšiću i Crnoj Gori, i sa nevladinim sektorom, predviđeno je i organizovanje oko dvadesetak multimedijalnih programa. </w:t>
      </w:r>
    </w:p>
    <w:p w:rsidR="00107223" w:rsidRPr="001D7763" w:rsidRDefault="00107223" w:rsidP="00107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223" w:rsidRPr="001D7763" w:rsidRDefault="00107223" w:rsidP="00D316E2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lastRenderedPageBreak/>
        <w:t>Izdavačka djelatnost redovno prati hroniku „Međunarodnog festivala glumca“. U tom djelokrugu rada predviđeno je objavljivanje biltena Festivala i arhiviranje propratnog publikovanog materijala.</w:t>
      </w:r>
    </w:p>
    <w:p w:rsidR="00AA6E9B" w:rsidRPr="00AA6E9B" w:rsidRDefault="00107223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 xml:space="preserve">Redovan segment rada izdavačke djelatnosti je ažuriranje mjesečnih repertoara i svih informacija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web stranici Pozorišta, kao i arhiviranje produkcijske građe i svih dešavanja vezano za pozorišni život u gradu i rad Nikšićkog pozorišta.</w:t>
      </w:r>
      <w:r w:rsidR="00586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E9B" w:rsidRPr="00AA6E9B">
        <w:rPr>
          <w:rFonts w:ascii="Times New Roman" w:hAnsi="Times New Roman" w:cs="Times New Roman"/>
          <w:sz w:val="28"/>
          <w:szCs w:val="28"/>
        </w:rPr>
        <w:t>zdavačka</w:t>
      </w:r>
      <w:proofErr w:type="gramEnd"/>
      <w:r w:rsidR="00AA6E9B" w:rsidRPr="00AA6E9B">
        <w:rPr>
          <w:rFonts w:ascii="Times New Roman" w:hAnsi="Times New Roman" w:cs="Times New Roman"/>
          <w:sz w:val="28"/>
          <w:szCs w:val="28"/>
        </w:rPr>
        <w:t xml:space="preserve"> djelatnost</w:t>
      </w:r>
    </w:p>
    <w:p w:rsidR="00AA6E9B" w:rsidRP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3AA" w:rsidRDefault="00BA63AA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E9B" w:rsidRPr="00AA6E9B" w:rsidRDefault="00AA6E9B" w:rsidP="00AA6E9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E9B">
        <w:rPr>
          <w:rFonts w:ascii="Times New Roman" w:hAnsi="Times New Roman" w:cs="Times New Roman"/>
          <w:b/>
          <w:sz w:val="32"/>
          <w:szCs w:val="32"/>
        </w:rPr>
        <w:t xml:space="preserve">Izdavačka djelatnost </w:t>
      </w:r>
    </w:p>
    <w:p w:rsidR="00AA6E9B" w:rsidRDefault="00AA6E9B" w:rsidP="00AA6E9B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BA63AA" w:rsidRPr="00AA6E9B" w:rsidRDefault="00BA63AA" w:rsidP="00AA6E9B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AA6E9B" w:rsidRP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9B">
        <w:rPr>
          <w:rFonts w:ascii="Times New Roman" w:hAnsi="Times New Roman" w:cs="Times New Roman"/>
          <w:sz w:val="28"/>
          <w:szCs w:val="28"/>
        </w:rPr>
        <w:t xml:space="preserve">Pozorište se, u skladu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Statutom ustanove, u kontinuitetu pored osnovne – produkcijske, bavi i izdavačkom djelatnošću. Ovaj dio organizacione jedinice Ustanove djeluje kroz nekoliko segmenata rada: izdavačke edicije, serijsku publicistiku, odnose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javnošću (PR služba) i pozorišnu dokumentaristiku. </w:t>
      </w:r>
    </w:p>
    <w:p w:rsidR="00AA6E9B" w:rsidRP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9B">
        <w:rPr>
          <w:rFonts w:ascii="Times New Roman" w:hAnsi="Times New Roman" w:cs="Times New Roman"/>
          <w:sz w:val="28"/>
          <w:szCs w:val="28"/>
        </w:rPr>
        <w:t xml:space="preserve">Prioritet u radu izdavačke djelatnosti daje se projektima koji se realizuju u kontinuitetu u serijskim publikacijama. No, izdavačka djelatnost, u sopstvenoj produkciji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ili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u saizdavaštvu sa drugim pozorištima u Crnoj Gori, nastoji da i kroz edicije ostvari kontinuitet u radu, objavljujući teatrološke, teatrografske, monografske publikacije i zbirke drama.</w:t>
      </w:r>
    </w:p>
    <w:p w:rsidR="00AA6E9B" w:rsidRP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9B">
        <w:rPr>
          <w:rFonts w:ascii="Times New Roman" w:hAnsi="Times New Roman" w:cs="Times New Roman"/>
          <w:sz w:val="28"/>
          <w:szCs w:val="28"/>
        </w:rPr>
        <w:t xml:space="preserve">U 2022.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godini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, planirano je objavljivanje četiri broja časopisa „Pozorište“, čiji će najveći dio sadržaja biti posvećen pozorišnoj produkciji u Crnoj Gori i zemljama regiona, tačnije teatarskim ustanovama sa kojima Nikšićko pozorište već ima uspostavljenu saradnju. Časopis, pored informativnog sadržaja, planira i objavljivanje drama manje afirmisanih i neafirmisanih dramskih pisaca,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te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teatroloških, esejističkih i istraživačkih radova. Saglasno važećim zakonskim propisima časopis se objavljuje kao besplatan primjerak. Troškovi grafičkog preloma, dizajna i štampe iznose 1.200 evra, za tiraž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100 primjeraka po broju. Redakcija časopisa planira modele finansiranja iz dva izvora, koji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obezbijediti održivost projekta: </w:t>
      </w:r>
    </w:p>
    <w:p w:rsidR="00AA6E9B" w:rsidRP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Apliciranje projektom </w:t>
      </w:r>
      <w:r w:rsidRPr="00AA6E9B">
        <w:rPr>
          <w:rFonts w:ascii="Times New Roman" w:hAnsi="Times New Roman" w:cs="Times New Roman"/>
          <w:sz w:val="28"/>
          <w:szCs w:val="28"/>
        </w:rPr>
        <w:t xml:space="preserve">za redovni Кonkurs kod Ministarstva kulture Crne Gore za sufinansiranje programa za razvoj kulturno-umjetničkog stvaralaštva. </w:t>
      </w:r>
    </w:p>
    <w:p w:rsidR="00AA6E9B" w:rsidRP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9B">
        <w:rPr>
          <w:rFonts w:ascii="Times New Roman" w:hAnsi="Times New Roman" w:cs="Times New Roman"/>
          <w:sz w:val="28"/>
          <w:szCs w:val="28"/>
        </w:rPr>
        <w:lastRenderedPageBreak/>
        <w:t xml:space="preserve">- S obzirom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to da časopis redovno prati cjelokupnu pozorišnu produkciju, Nikšićko pozorište će zahtijevati da se jedan dio navedenih sredstava obezbijedi kroz sufinansiranje projekta sa pozorišnim ustanovama i pozorišnim festivalima.</w:t>
      </w:r>
    </w:p>
    <w:p w:rsidR="00AA6E9B" w:rsidRP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9B">
        <w:rPr>
          <w:rFonts w:ascii="Times New Roman" w:hAnsi="Times New Roman" w:cs="Times New Roman"/>
          <w:sz w:val="28"/>
          <w:szCs w:val="28"/>
        </w:rPr>
        <w:t xml:space="preserve">Izdavačka djelatnost Pozorišta u ediciji „Drame“, u cilju afirmacije mladih dramskih pisaca, planira da u 2022.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godini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objavi zbirku drama, koju je bila predviđena prošlogodišnjim Programom rada, ali se zbog epidemiološke krize i prolongiranja termina Кonkursa resornog Ministarstva, odustalo od njene realizacije. Priprema, dizajn i štampa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te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zbirke, u tri stotine (300) primjeraka koštala bi 300 evra, dok bi troškovi štampe sa PDV iznosili oko 700 evra. Ovaj projekat, takođe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biti realizovan uz podršku Ministarstva kulture, odnosno apliciranjem na Кonkurse za sufinansiranje projekata od značaja za ostvarivanje javnog interesa u kulturi i valorizaciji nacionalne pisane riječi.  </w:t>
      </w:r>
    </w:p>
    <w:p w:rsidR="00AA6E9B" w:rsidRP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9B">
        <w:rPr>
          <w:rFonts w:ascii="Times New Roman" w:hAnsi="Times New Roman" w:cs="Times New Roman"/>
          <w:sz w:val="28"/>
          <w:szCs w:val="28"/>
        </w:rPr>
        <w:t>U ediciji „Jubileji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“ planirano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je objavljivanje tri monografije. Objavljivanje knjige „Crnogorska pozorišna povijest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“ je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projekat koji će u osnovi biti oslonjen, uz obogaćeni sadržaj, na materijal istoimene izložbe koja je realizovana 2019.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i do sada je imala zapažene prezentacije u osam (8) crnogorskih pozorišnih sredina. </w:t>
      </w:r>
    </w:p>
    <w:p w:rsidR="00AA6E9B" w:rsidRP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9B">
        <w:rPr>
          <w:rFonts w:ascii="Times New Roman" w:hAnsi="Times New Roman" w:cs="Times New Roman"/>
          <w:sz w:val="28"/>
          <w:szCs w:val="28"/>
        </w:rPr>
        <w:t xml:space="preserve">Objavljivanje teatrološko-kinematografske monografije „Nikšićki pozorišni i filmski stvaraoci“, takođe bi se realizovalo kroz Кonkurs Ministarstva. Planom je predviđeno da se taj projekat realizuje u saradnji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Crnogorskom kinotekom</w:t>
      </w:r>
      <w:r>
        <w:rPr>
          <w:rFonts w:ascii="Times New Roman" w:hAnsi="Times New Roman" w:cs="Times New Roman"/>
          <w:sz w:val="28"/>
          <w:szCs w:val="28"/>
        </w:rPr>
        <w:t xml:space="preserve"> Filmskim centrum Crne Gore</w:t>
      </w:r>
      <w:r w:rsidRPr="00AA6E9B">
        <w:rPr>
          <w:rFonts w:ascii="Times New Roman" w:hAnsi="Times New Roman" w:cs="Times New Roman"/>
          <w:sz w:val="28"/>
          <w:szCs w:val="28"/>
        </w:rPr>
        <w:t>, a njegov budžet pla</w:t>
      </w:r>
      <w:r w:rsidR="002C0C88">
        <w:rPr>
          <w:rFonts w:ascii="Times New Roman" w:hAnsi="Times New Roman" w:cs="Times New Roman"/>
          <w:sz w:val="28"/>
          <w:szCs w:val="28"/>
        </w:rPr>
        <w:t>niran je na 3 000</w:t>
      </w:r>
      <w:r>
        <w:rPr>
          <w:rFonts w:ascii="Times New Roman" w:hAnsi="Times New Roman" w:cs="Times New Roman"/>
          <w:sz w:val="28"/>
          <w:szCs w:val="28"/>
        </w:rPr>
        <w:t xml:space="preserve"> ev</w:t>
      </w:r>
      <w:r w:rsidRPr="00AA6E9B">
        <w:rPr>
          <w:rFonts w:ascii="Times New Roman" w:hAnsi="Times New Roman" w:cs="Times New Roman"/>
          <w:sz w:val="28"/>
          <w:szCs w:val="28"/>
        </w:rPr>
        <w:t xml:space="preserve">ra (troškovi za istraživanje građe, priprema rukopisa što je dio troškova autorskog honorara i troškovi grafičkog preloma i štampe). </w:t>
      </w:r>
    </w:p>
    <w:p w:rsidR="00AA6E9B" w:rsidRP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9B">
        <w:rPr>
          <w:rFonts w:ascii="Times New Roman" w:hAnsi="Times New Roman" w:cs="Times New Roman"/>
          <w:sz w:val="28"/>
          <w:szCs w:val="28"/>
        </w:rPr>
        <w:t xml:space="preserve">U planu je i štampanje monografije „Međunarodni festival glumca“, čija je priprema u rukopisu publiciste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mr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Radmila Tadića, većim dijelom sadržaja odrađena, zaključno sa festivalskim izdanjima do 2012.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. Preostali dio rukopisa bi odradila Slavojka Marojević, urednica izdavačke djelatnosti, tako da bi se ovaj naslov objavio kao koautorski. Troškovi realizacije ovog projekta planirani su u iznosu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3 500 evra. Ovaj projekat takođe, bi bio dio apliciranja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konkurse resornog Ministarstva u Vladi Crne Gore.</w:t>
      </w:r>
    </w:p>
    <w:p w:rsidR="00AA6E9B" w:rsidRP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E9B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serijskih publikacija poseban – teatrografski značaj ima objavljivanje Biltena „Međunarodnog festivala glumca“. U tom djelokrugu rada predviđeno je i arhiviranje propratnog publikovanog materijala Festivala. Segment dokumentaristike u kontinuitetu radi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arhiviranju i čuvanju cjelokupne pozorišne građe. Za taj dio rada izdavačke djelatnosti, u cilju njenog unapređenja neohodno </w:t>
      </w:r>
      <w:r w:rsidRPr="00AA6E9B">
        <w:rPr>
          <w:rFonts w:ascii="Times New Roman" w:hAnsi="Times New Roman" w:cs="Times New Roman"/>
          <w:sz w:val="28"/>
          <w:szCs w:val="28"/>
        </w:rPr>
        <w:lastRenderedPageBreak/>
        <w:t xml:space="preserve">je obezbijediti tehnička sredstva za adekvatno čuvanje arhivske građe, po savremenim standardima. Taj dio troškova planiran je u iznosu do 300 evra. </w:t>
      </w:r>
    </w:p>
    <w:p w:rsidR="00AA6E9B" w:rsidRPr="00AA6E9B" w:rsidRDefault="00AA6E9B" w:rsidP="00AA6E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9B">
        <w:rPr>
          <w:rFonts w:ascii="Times New Roman" w:hAnsi="Times New Roman" w:cs="Times New Roman"/>
          <w:sz w:val="28"/>
          <w:szCs w:val="28"/>
        </w:rPr>
        <w:t xml:space="preserve">Redovan segment rada izdavačke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djelatnosti  je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ažuriranje i administrativno održavanje web stranice niksickopozoriste.me.  </w:t>
      </w:r>
    </w:p>
    <w:p w:rsidR="00107223" w:rsidRDefault="00AA6E9B" w:rsidP="002C0C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E9B">
        <w:rPr>
          <w:rFonts w:ascii="Times New Roman" w:hAnsi="Times New Roman" w:cs="Times New Roman"/>
          <w:sz w:val="28"/>
          <w:szCs w:val="28"/>
        </w:rPr>
        <w:t xml:space="preserve">Izdavačka djelatnost Nikšićkog pozorišta planira da već početkom naredne godine, u saradnji </w:t>
      </w:r>
      <w:proofErr w:type="gramStart"/>
      <w:r w:rsidRPr="00AA6E9B">
        <w:rPr>
          <w:rFonts w:ascii="Times New Roman" w:hAnsi="Times New Roman" w:cs="Times New Roman"/>
          <w:sz w:val="28"/>
          <w:szCs w:val="28"/>
        </w:rPr>
        <w:t>sa</w:t>
      </w:r>
      <w:proofErr w:type="gramEnd"/>
      <w:r w:rsidRPr="00AA6E9B">
        <w:rPr>
          <w:rFonts w:ascii="Times New Roman" w:hAnsi="Times New Roman" w:cs="Times New Roman"/>
          <w:sz w:val="28"/>
          <w:szCs w:val="28"/>
        </w:rPr>
        <w:t xml:space="preserve"> pozorištima, ustanovama kulture koje imaju profesionalnu dramsku produkciju i festivalima u Crnoj Gori, te Fakultetom dramskih umjetnosti sa Cetinja, organizuje okrugli sto ili simpozijum na temu „Pozorište i izazovi“. Novac za ovaj projekat bi obezbijedili po principu su</w:t>
      </w:r>
      <w:r w:rsidR="002C0C88">
        <w:rPr>
          <w:rFonts w:ascii="Times New Roman" w:hAnsi="Times New Roman" w:cs="Times New Roman"/>
          <w:sz w:val="28"/>
          <w:szCs w:val="28"/>
        </w:rPr>
        <w:t>organizacije navedenih učesnika.</w:t>
      </w:r>
    </w:p>
    <w:p w:rsidR="00D316E2" w:rsidRDefault="00D316E2" w:rsidP="002C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223" w:rsidRDefault="00107223" w:rsidP="00107223">
      <w:pPr>
        <w:spacing w:line="360" w:lineRule="auto"/>
        <w:ind w:right="4"/>
        <w:jc w:val="center"/>
        <w:outlineLvl w:val="0"/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b/>
          <w:bCs/>
          <w:spacing w:val="-6"/>
          <w:sz w:val="32"/>
          <w:szCs w:val="32"/>
          <w:lang w:val="sr-Latn-CS"/>
        </w:rPr>
        <w:t xml:space="preserve">Planirana budžetska sredstva sa kvalifikacionom strukturom zaposlenih </w:t>
      </w:r>
    </w:p>
    <w:p w:rsidR="00107223" w:rsidRPr="001D7763" w:rsidRDefault="00107223" w:rsidP="001072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1D7763">
        <w:rPr>
          <w:rFonts w:ascii="Times New Roman" w:hAnsi="Times New Roman" w:cs="Times New Roman"/>
          <w:sz w:val="28"/>
          <w:szCs w:val="28"/>
          <w:lang w:val="sr-Latn-CS"/>
        </w:rPr>
        <w:t>U Nikšićkom pozoriš</w:t>
      </w:r>
      <w:r w:rsidR="00B17147">
        <w:rPr>
          <w:rFonts w:ascii="Times New Roman" w:hAnsi="Times New Roman" w:cs="Times New Roman"/>
          <w:sz w:val="28"/>
          <w:szCs w:val="28"/>
          <w:lang w:val="sr-Latn-CS"/>
        </w:rPr>
        <w:t>tu je radno angažovano ukupno 51</w:t>
      </w:r>
      <w:r w:rsidR="00F65538">
        <w:rPr>
          <w:rFonts w:ascii="Times New Roman" w:hAnsi="Times New Roman" w:cs="Times New Roman"/>
          <w:sz w:val="28"/>
          <w:szCs w:val="28"/>
          <w:lang w:val="sr-Latn-CS"/>
        </w:rPr>
        <w:t xml:space="preserve"> zaposleni</w:t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>, od čega je  4</w:t>
      </w:r>
      <w:r w:rsidR="00B17147">
        <w:rPr>
          <w:rFonts w:ascii="Times New Roman" w:hAnsi="Times New Roman" w:cs="Times New Roman"/>
          <w:sz w:val="28"/>
          <w:szCs w:val="28"/>
          <w:lang w:val="sr-Latn-CS"/>
        </w:rPr>
        <w:t>9</w:t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 zaposleno na neodređeno vrijeme i </w:t>
      </w:r>
      <w:r>
        <w:rPr>
          <w:rFonts w:ascii="Times New Roman" w:hAnsi="Times New Roman" w:cs="Times New Roman"/>
          <w:sz w:val="28"/>
          <w:szCs w:val="28"/>
          <w:lang w:val="sr-Latn-CS"/>
        </w:rPr>
        <w:t>dva zaposlena</w:t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 na određeno vrijeme.</w:t>
      </w:r>
    </w:p>
    <w:p w:rsidR="00107223" w:rsidRDefault="00107223" w:rsidP="001072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Kvalifikaciona  struktura zaposlenih na neodređeno i određeno vrijeme: </w:t>
      </w:r>
    </w:p>
    <w:p w:rsidR="00107223" w:rsidRPr="001D7763" w:rsidRDefault="00107223" w:rsidP="0010722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107223" w:rsidRPr="001D7763" w:rsidRDefault="00F65538" w:rsidP="0010722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16</w:t>
      </w:r>
      <w:r w:rsidR="00107223"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 zaposlenih sa VSS                         </w:t>
      </w:r>
    </w:p>
    <w:p w:rsidR="00107223" w:rsidRPr="001D7763" w:rsidRDefault="00107223" w:rsidP="0010722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4 zaposlena sa VŠ                             </w:t>
      </w:r>
    </w:p>
    <w:p w:rsidR="00107223" w:rsidRPr="001D7763" w:rsidRDefault="00107223" w:rsidP="0010722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1D7763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="00F65538">
        <w:rPr>
          <w:rFonts w:ascii="Times New Roman" w:hAnsi="Times New Roman" w:cs="Times New Roman"/>
          <w:sz w:val="28"/>
          <w:szCs w:val="28"/>
          <w:lang w:val="sr-Latn-CS"/>
        </w:rPr>
        <w:t>8</w:t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 zaposlenih sa SSS                       </w:t>
      </w:r>
    </w:p>
    <w:p w:rsidR="00107223" w:rsidRPr="001D7763" w:rsidRDefault="00107223" w:rsidP="0010722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  <w:lang w:val="sr-Latn-CS"/>
        </w:rPr>
      </w:pPr>
      <w:r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1 zaposleni sa OŠ                              </w:t>
      </w:r>
    </w:p>
    <w:p w:rsidR="00107223" w:rsidRPr="001D7763" w:rsidRDefault="00F65538" w:rsidP="0010722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2</w:t>
      </w:r>
      <w:r w:rsidR="00107223" w:rsidRPr="001D7763">
        <w:rPr>
          <w:rFonts w:ascii="Times New Roman" w:hAnsi="Times New Roman" w:cs="Times New Roman"/>
          <w:sz w:val="28"/>
          <w:szCs w:val="28"/>
          <w:lang w:val="pl-PL"/>
        </w:rPr>
        <w:t xml:space="preserve"> zaposlen</w:t>
      </w:r>
      <w:r>
        <w:rPr>
          <w:rFonts w:ascii="Times New Roman" w:hAnsi="Times New Roman" w:cs="Times New Roman"/>
          <w:sz w:val="28"/>
          <w:szCs w:val="28"/>
          <w:lang w:val="pl-PL"/>
        </w:rPr>
        <w:t>a</w:t>
      </w:r>
      <w:r w:rsidR="00107223" w:rsidRPr="001D7763">
        <w:rPr>
          <w:rFonts w:ascii="Times New Roman" w:hAnsi="Times New Roman" w:cs="Times New Roman"/>
          <w:sz w:val="28"/>
          <w:szCs w:val="28"/>
          <w:lang w:val="pl-PL"/>
        </w:rPr>
        <w:t xml:space="preserve"> na odre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đeno vrijeme  sa SSS </w:t>
      </w:r>
      <w:r w:rsidR="00107223"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107223" w:rsidRPr="001D7763" w:rsidRDefault="00107223" w:rsidP="00107223">
      <w:pPr>
        <w:spacing w:after="0"/>
        <w:jc w:val="both"/>
        <w:rPr>
          <w:rFonts w:ascii="Times New Roman" w:hAnsi="Times New Roman" w:cs="Times New Roman"/>
          <w:sz w:val="32"/>
          <w:szCs w:val="32"/>
          <w:lang w:val="pl-PL"/>
        </w:rPr>
      </w:pPr>
    </w:p>
    <w:p w:rsidR="00107223" w:rsidRDefault="00107223" w:rsidP="001072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 w:rsidRPr="001D7763">
        <w:rPr>
          <w:rFonts w:ascii="Times New Roman" w:hAnsi="Times New Roman" w:cs="Times New Roman"/>
          <w:sz w:val="28"/>
          <w:szCs w:val="28"/>
          <w:lang w:val="pl-PL"/>
        </w:rPr>
        <w:t>Planirani izdaci za bruto zarade i doprinose poslodavca za</w:t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 4</w:t>
      </w:r>
      <w:r w:rsidR="00F65538">
        <w:rPr>
          <w:rFonts w:ascii="Times New Roman" w:hAnsi="Times New Roman" w:cs="Times New Roman"/>
          <w:sz w:val="28"/>
          <w:szCs w:val="28"/>
          <w:lang w:val="sr-Latn-CS"/>
        </w:rPr>
        <w:t>9</w:t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 zaposlenih radnika na neodređeno i </w:t>
      </w:r>
      <w:r>
        <w:rPr>
          <w:rFonts w:ascii="Times New Roman" w:hAnsi="Times New Roman" w:cs="Times New Roman"/>
          <w:sz w:val="28"/>
          <w:szCs w:val="28"/>
          <w:lang w:val="sr-Latn-CS"/>
        </w:rPr>
        <w:t>dva</w:t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 zaposlena ra</w:t>
      </w:r>
      <w:r w:rsidR="00F65538">
        <w:rPr>
          <w:rFonts w:ascii="Times New Roman" w:hAnsi="Times New Roman" w:cs="Times New Roman"/>
          <w:sz w:val="28"/>
          <w:szCs w:val="28"/>
          <w:lang w:val="sr-Latn-CS"/>
        </w:rPr>
        <w:t>dnika na određeno vrijeme u 2022</w:t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>. godini iznose</w:t>
      </w:r>
      <w:r w:rsidRPr="001D7763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 </w:t>
      </w:r>
      <w:r w:rsidR="009955FA">
        <w:rPr>
          <w:rFonts w:ascii="Times New Roman" w:hAnsi="Times New Roman" w:cs="Times New Roman"/>
          <w:b/>
          <w:sz w:val="28"/>
          <w:szCs w:val="28"/>
        </w:rPr>
        <w:t>436.600,</w:t>
      </w:r>
      <w:r w:rsidR="00024901">
        <w:rPr>
          <w:rFonts w:ascii="Times New Roman" w:hAnsi="Times New Roman" w:cs="Times New Roman"/>
          <w:b/>
          <w:sz w:val="28"/>
          <w:szCs w:val="28"/>
        </w:rPr>
        <w:t>00</w:t>
      </w:r>
      <w:r w:rsidR="00024901">
        <w:rPr>
          <w:rFonts w:ascii="Times New Roman" w:hAnsi="Times New Roman" w:cs="Times New Roman"/>
          <w:sz w:val="28"/>
          <w:szCs w:val="28"/>
        </w:rPr>
        <w:t xml:space="preserve"> </w:t>
      </w:r>
      <w:r w:rsidRPr="001D7763">
        <w:rPr>
          <w:rFonts w:ascii="Times New Roman" w:hAnsi="Times New Roman" w:cs="Times New Roman"/>
          <w:b/>
          <w:sz w:val="28"/>
          <w:szCs w:val="28"/>
          <w:lang w:val="sr-Latn-CS"/>
        </w:rPr>
        <w:t>€</w:t>
      </w:r>
      <w:r w:rsidR="009955FA">
        <w:rPr>
          <w:rFonts w:ascii="Times New Roman" w:hAnsi="Times New Roman" w:cs="Times New Roman"/>
          <w:sz w:val="28"/>
          <w:szCs w:val="28"/>
          <w:lang w:val="sr-Latn-CS"/>
        </w:rPr>
        <w:t>.</w:t>
      </w:r>
    </w:p>
    <w:p w:rsidR="00564F2A" w:rsidRPr="001D7763" w:rsidRDefault="00564F2A" w:rsidP="00107223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lang w:val="sr-Latn-CS"/>
        </w:rPr>
      </w:pPr>
    </w:p>
    <w:p w:rsidR="00F65538" w:rsidRPr="00564F2A" w:rsidRDefault="00F65538" w:rsidP="00037A2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sr-Latn-CS"/>
        </w:rPr>
      </w:pPr>
      <w:r w:rsidRPr="00564F2A">
        <w:rPr>
          <w:rFonts w:ascii="Times New Roman" w:hAnsi="Times New Roman" w:cs="Times New Roman"/>
          <w:b/>
          <w:bCs/>
          <w:sz w:val="26"/>
          <w:szCs w:val="26"/>
          <w:lang w:val="sr-Latn-CS"/>
        </w:rPr>
        <w:t>Napomena:</w:t>
      </w:r>
      <w:r w:rsidR="00037A27" w:rsidRPr="00564F2A">
        <w:rPr>
          <w:rFonts w:ascii="Times New Roman" w:hAnsi="Times New Roman" w:cs="Times New Roman"/>
          <w:bCs/>
          <w:sz w:val="26"/>
          <w:szCs w:val="26"/>
          <w:lang w:val="sr-Latn-CS"/>
        </w:rPr>
        <w:t xml:space="preserve"> Na  osnovu saglasnosti predsjednika  Opštine Nikšić br. 02-031-2741/2 od 25.08.2021. godine, i rješenja broj 461/21 od 27.08.2021. godine, v.d. direktora Radinka Krulanovića, utvrđena je redovna isplata 12 mjesečnih zarada za Zorana Bulajića, koji je obavljao funkciju direktora JU Nikšićko pozorište, počev od 21.09.2021. godine.</w:t>
      </w:r>
    </w:p>
    <w:p w:rsidR="00037A27" w:rsidRPr="00564F2A" w:rsidRDefault="00037A27" w:rsidP="00037A2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sr-Latn-CS"/>
        </w:rPr>
      </w:pPr>
      <w:r w:rsidRPr="00564F2A">
        <w:rPr>
          <w:rFonts w:ascii="Times New Roman" w:hAnsi="Times New Roman" w:cs="Times New Roman"/>
          <w:bCs/>
          <w:sz w:val="26"/>
          <w:szCs w:val="26"/>
          <w:lang w:val="sr-Latn-CS"/>
        </w:rPr>
        <w:t>U kvalifikacionoj strukturi sa visokom stručnom spremom predviđen je i v.d. direktor Pozorišta, kojim je odobrena isplata 12 mjesečnih zarada, zaključno sa 21.09.2022. godine.</w:t>
      </w:r>
    </w:p>
    <w:p w:rsidR="00564F2A" w:rsidRDefault="00564F2A" w:rsidP="00850F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</w:p>
    <w:p w:rsidR="00850F7A" w:rsidRDefault="00850F7A" w:rsidP="00850F7A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r-Latn-CS"/>
        </w:rPr>
      </w:pPr>
      <w:r w:rsidRPr="00F87330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Finansijski plan za 20</w:t>
      </w:r>
      <w:r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22</w:t>
      </w:r>
      <w:r w:rsidRPr="00F87330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g</w:t>
      </w:r>
      <w:r w:rsidRPr="00F87330">
        <w:rPr>
          <w:rFonts w:ascii="Times New Roman" w:hAnsi="Times New Roman" w:cs="Times New Roman"/>
          <w:b/>
          <w:bCs/>
          <w:sz w:val="32"/>
          <w:szCs w:val="32"/>
          <w:lang w:val="sr-Latn-CS"/>
        </w:rPr>
        <w:t>odinu</w:t>
      </w:r>
    </w:p>
    <w:p w:rsidR="00850F7A" w:rsidRDefault="00850F7A" w:rsidP="00850F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</w:p>
    <w:p w:rsidR="00850F7A" w:rsidRDefault="00850F7A" w:rsidP="00850F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  <w:r w:rsidRPr="007D3FF3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>PRIHODI:</w:t>
      </w:r>
    </w:p>
    <w:p w:rsidR="00850F7A" w:rsidRDefault="00850F7A" w:rsidP="00850F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</w:p>
    <w:p w:rsidR="00850F7A" w:rsidRPr="007D3FF3" w:rsidRDefault="00850F7A" w:rsidP="00850F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</w:p>
    <w:p w:rsidR="00850F7A" w:rsidRPr="007D3FF3" w:rsidRDefault="00850F7A" w:rsidP="00850F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73"/>
      </w:tblGrid>
      <w:tr w:rsidR="00850F7A" w:rsidRPr="007D3FF3" w:rsidTr="00037A2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7A" w:rsidRPr="007D3FF3" w:rsidRDefault="00850F7A" w:rsidP="00037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7D3F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PRIHODI IZ BUDŽETA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7A" w:rsidRPr="007D3FF3" w:rsidRDefault="00850F7A" w:rsidP="00E6513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CS"/>
              </w:rPr>
              <w:t>533 400,</w:t>
            </w:r>
            <w:r w:rsidR="00E65130">
              <w:rPr>
                <w:rFonts w:ascii="Times New Roman" w:hAnsi="Times New Roman" w:cs="Times New Roman"/>
                <w:bCs/>
                <w:sz w:val="28"/>
                <w:szCs w:val="28"/>
                <w:lang w:val="sr-Latn-CS"/>
              </w:rPr>
              <w:t>00</w:t>
            </w:r>
          </w:p>
        </w:tc>
      </w:tr>
      <w:tr w:rsidR="00850F7A" w:rsidRPr="007D3FF3" w:rsidTr="00037A2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7A" w:rsidRPr="007D3FF3" w:rsidRDefault="00850F7A" w:rsidP="00037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7D3F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PRIHODI OD DONACIJA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7A" w:rsidRPr="007D3FF3" w:rsidRDefault="00850F7A" w:rsidP="00037A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20 000,00</w:t>
            </w:r>
          </w:p>
        </w:tc>
      </w:tr>
      <w:tr w:rsidR="00850F7A" w:rsidRPr="007D3FF3" w:rsidTr="00037A2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7A" w:rsidRPr="007D3FF3" w:rsidRDefault="00850F7A" w:rsidP="00037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7D3F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PRIHODI IZ SOPSTVENIH DJELATNOSTI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7A" w:rsidRPr="007D3FF3" w:rsidRDefault="00850F7A" w:rsidP="00037A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30 000,00</w:t>
            </w:r>
          </w:p>
        </w:tc>
      </w:tr>
      <w:tr w:rsidR="00850F7A" w:rsidRPr="007D3FF3" w:rsidTr="00037A27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7A" w:rsidRPr="007D3FF3" w:rsidRDefault="00850F7A" w:rsidP="00037A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</w:pPr>
            <w:r w:rsidRPr="007D3FF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  <w:t>U K U P N O: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7A" w:rsidRPr="007D3FF3" w:rsidRDefault="00850F7A" w:rsidP="00E651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  <w:t>583 400,</w:t>
            </w:r>
            <w:r w:rsidR="00E6513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  <w:t>00</w:t>
            </w:r>
          </w:p>
        </w:tc>
      </w:tr>
    </w:tbl>
    <w:p w:rsidR="00850F7A" w:rsidRDefault="00850F7A" w:rsidP="0085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50F7A" w:rsidRPr="007D3FF3" w:rsidRDefault="00850F7A" w:rsidP="00850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850F7A" w:rsidRDefault="00850F7A" w:rsidP="00850F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  <w:r w:rsidRPr="007D3FF3"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  <w:t>RASHODI:</w:t>
      </w:r>
    </w:p>
    <w:p w:rsidR="00850F7A" w:rsidRPr="007D3FF3" w:rsidRDefault="00850F7A" w:rsidP="00850F7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</w:p>
    <w:p w:rsidR="00850F7A" w:rsidRPr="007D3FF3" w:rsidRDefault="00850F7A" w:rsidP="00850F7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CS"/>
        </w:rPr>
      </w:pPr>
    </w:p>
    <w:tbl>
      <w:tblPr>
        <w:tblW w:w="9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9"/>
        <w:gridCol w:w="1889"/>
      </w:tblGrid>
      <w:tr w:rsidR="00850F7A" w:rsidRPr="007D3FF3" w:rsidTr="00037A27">
        <w:trPr>
          <w:trHeight w:val="313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7A" w:rsidRPr="007D3FF3" w:rsidRDefault="00850F7A" w:rsidP="0003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7D3F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BRUTO ZARADE ZAPOSLENIH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2022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7A" w:rsidRPr="007D3FF3" w:rsidRDefault="00850F7A" w:rsidP="00037A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436 600,00</w:t>
            </w:r>
          </w:p>
        </w:tc>
      </w:tr>
      <w:tr w:rsidR="00850F7A" w:rsidRPr="007D3FF3" w:rsidTr="00037A27">
        <w:trPr>
          <w:trHeight w:val="1395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7A" w:rsidRPr="007D3FF3" w:rsidRDefault="00850F7A" w:rsidP="0003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7D3F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PROGRAMSKE AKTIVNOSTI </w:t>
            </w:r>
          </w:p>
          <w:p w:rsidR="00850F7A" w:rsidRPr="007D3FF3" w:rsidRDefault="00850F7A" w:rsidP="0003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7D3F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(Produkcijska i izdavačka djelatnost)</w:t>
            </w:r>
          </w:p>
          <w:p w:rsidR="00850F7A" w:rsidRDefault="00850F7A" w:rsidP="0003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7D3F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-Sredstva iz Budžeta Opštine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(programske aktivnosti 2022)</w:t>
            </w:r>
          </w:p>
          <w:p w:rsidR="00850F7A" w:rsidRPr="007D3FF3" w:rsidRDefault="00850F7A" w:rsidP="0003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FF3">
              <w:rPr>
                <w:rFonts w:ascii="Times New Roman" w:hAnsi="Times New Roman" w:cs="Times New Roman"/>
                <w:sz w:val="28"/>
                <w:szCs w:val="28"/>
              </w:rPr>
              <w:t>-Sopstveni prihodi i donacije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7A" w:rsidRDefault="00850F7A" w:rsidP="00037A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</w:p>
          <w:p w:rsidR="00850F7A" w:rsidRDefault="00850F7A" w:rsidP="00037A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</w:t>
            </w:r>
          </w:p>
          <w:p w:rsidR="00850F7A" w:rsidRDefault="00850F7A" w:rsidP="00037A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 30 000,00</w:t>
            </w:r>
          </w:p>
          <w:p w:rsidR="00850F7A" w:rsidRPr="007D3FF3" w:rsidRDefault="00850F7A" w:rsidP="00037A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     50 000,00</w:t>
            </w:r>
          </w:p>
        </w:tc>
      </w:tr>
      <w:tr w:rsidR="00850F7A" w:rsidRPr="007D3FF3" w:rsidTr="00037A27">
        <w:trPr>
          <w:trHeight w:val="458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7A" w:rsidRPr="007D3FF3" w:rsidRDefault="00850F7A" w:rsidP="0003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 w:rsidRPr="007D3F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KOMUNALNI IZDACI </w:t>
            </w:r>
          </w:p>
          <w:p w:rsidR="00850F7A" w:rsidRPr="007D3FF3" w:rsidRDefault="00850F7A" w:rsidP="0003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F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(Sredstva iz Budžeta Opštine)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7A" w:rsidRPr="007D3FF3" w:rsidRDefault="00850F7A" w:rsidP="00037A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>20 000,00</w:t>
            </w:r>
          </w:p>
        </w:tc>
      </w:tr>
      <w:tr w:rsidR="00850F7A" w:rsidRPr="000F578E" w:rsidTr="00037A27">
        <w:trPr>
          <w:trHeight w:val="313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7A" w:rsidRPr="007D3FF3" w:rsidRDefault="00850F7A" w:rsidP="0003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3FF3"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NAKNADE ČLANOVIMA POZORIŠNOG SAVJETA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7A" w:rsidRPr="000F578E" w:rsidRDefault="00850F7A" w:rsidP="00037A2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sr-Latn-CS"/>
              </w:rPr>
            </w:pPr>
            <w:r w:rsidRPr="000F578E">
              <w:rPr>
                <w:rFonts w:ascii="Times New Roman" w:hAnsi="Times New Roman" w:cs="Times New Roman"/>
                <w:bCs/>
                <w:sz w:val="28"/>
                <w:szCs w:val="28"/>
                <w:lang w:val="sr-Latn-CS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CS"/>
              </w:rPr>
              <w:t>20</w:t>
            </w:r>
            <w:r w:rsidRPr="000F578E">
              <w:rPr>
                <w:rFonts w:ascii="Times New Roman" w:hAnsi="Times New Roman" w:cs="Times New Roman"/>
                <w:bCs/>
                <w:sz w:val="28"/>
                <w:szCs w:val="28"/>
                <w:lang w:val="sr-Latn-CS"/>
              </w:rPr>
              <w:t>0,00</w:t>
            </w:r>
          </w:p>
        </w:tc>
      </w:tr>
      <w:tr w:rsidR="00850F7A" w:rsidRPr="007D3FF3" w:rsidTr="00037A27">
        <w:trPr>
          <w:trHeight w:val="433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7A" w:rsidRPr="007D3FF3" w:rsidRDefault="00850F7A" w:rsidP="00037A2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sr-Latn-CS"/>
              </w:rPr>
            </w:pPr>
            <w:r w:rsidRPr="007D3FF3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sr-Latn-CS"/>
              </w:rPr>
              <w:t>OTPLATA DUGA IZ PRETHODNOG PERIODA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7A" w:rsidRPr="007D3FF3" w:rsidRDefault="00850F7A" w:rsidP="00E6513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sr-Latn-CS"/>
              </w:rPr>
              <w:t>41 600,</w:t>
            </w:r>
            <w:r w:rsidR="00E65130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sr-Latn-CS"/>
              </w:rPr>
              <w:t>00</w:t>
            </w:r>
          </w:p>
        </w:tc>
      </w:tr>
      <w:tr w:rsidR="00850F7A" w:rsidRPr="007D3FF3" w:rsidTr="00037A27">
        <w:trPr>
          <w:trHeight w:val="615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F7A" w:rsidRPr="007D3FF3" w:rsidRDefault="00850F7A" w:rsidP="00037A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Latn-C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F7A" w:rsidRDefault="00850F7A" w:rsidP="00037A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</w:pPr>
          </w:p>
          <w:p w:rsidR="00850F7A" w:rsidRPr="007D3FF3" w:rsidRDefault="00850F7A" w:rsidP="00E651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  <w:t>583 400,</w:t>
            </w:r>
            <w:r w:rsidR="00E6513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CS"/>
              </w:rPr>
              <w:t>00</w:t>
            </w:r>
          </w:p>
        </w:tc>
      </w:tr>
    </w:tbl>
    <w:p w:rsidR="00850F7A" w:rsidRPr="007D3FF3" w:rsidRDefault="00850F7A" w:rsidP="00850F7A">
      <w:pPr>
        <w:spacing w:after="0" w:line="240" w:lineRule="auto"/>
        <w:ind w:right="-9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Latn-CS"/>
        </w:rPr>
      </w:pPr>
    </w:p>
    <w:p w:rsidR="00850F7A" w:rsidRPr="00CA5B4F" w:rsidRDefault="00850F7A" w:rsidP="00850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B4F">
        <w:rPr>
          <w:rFonts w:ascii="Times New Roman" w:hAnsi="Times New Roman" w:cs="Times New Roman"/>
          <w:sz w:val="28"/>
          <w:szCs w:val="28"/>
        </w:rPr>
        <w:t>Obrazloženje prenosa sredstava:</w:t>
      </w:r>
    </w:p>
    <w:p w:rsidR="00850F7A" w:rsidRPr="00CA5B4F" w:rsidRDefault="00850F7A" w:rsidP="00850F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B4F">
        <w:rPr>
          <w:rFonts w:ascii="Times New Roman" w:hAnsi="Times New Roman" w:cs="Times New Roman"/>
          <w:sz w:val="28"/>
          <w:szCs w:val="28"/>
        </w:rPr>
        <w:t xml:space="preserve">Ukupni transfer iz budžeta Opštine Nikšić iznosi </w:t>
      </w:r>
      <w:r>
        <w:rPr>
          <w:rFonts w:ascii="Times New Roman" w:hAnsi="Times New Roman" w:cs="Times New Roman"/>
          <w:b/>
          <w:sz w:val="28"/>
          <w:szCs w:val="28"/>
        </w:rPr>
        <w:t>533 400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,15</w:t>
      </w:r>
      <w:proofErr w:type="gramEnd"/>
      <w:r w:rsidR="00E65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B4F">
        <w:rPr>
          <w:rFonts w:ascii="Times New Roman" w:hAnsi="Times New Roman" w:cs="Times New Roman"/>
          <w:sz w:val="28"/>
          <w:szCs w:val="28"/>
        </w:rPr>
        <w:t xml:space="preserve">eura. </w:t>
      </w:r>
      <w:proofErr w:type="gramStart"/>
      <w:r w:rsidRPr="00CA5B4F">
        <w:rPr>
          <w:rFonts w:ascii="Times New Roman" w:hAnsi="Times New Roman" w:cs="Times New Roman"/>
          <w:sz w:val="28"/>
          <w:szCs w:val="28"/>
        </w:rPr>
        <w:t>Od</w:t>
      </w:r>
      <w:proofErr w:type="gramEnd"/>
      <w:r w:rsidRPr="00CA5B4F">
        <w:rPr>
          <w:rFonts w:ascii="Times New Roman" w:hAnsi="Times New Roman" w:cs="Times New Roman"/>
          <w:sz w:val="28"/>
          <w:szCs w:val="28"/>
        </w:rPr>
        <w:t xml:space="preserve"> ovog iznosa planira se prenos sredstava:</w:t>
      </w:r>
    </w:p>
    <w:p w:rsidR="00850F7A" w:rsidRPr="00CA5B4F" w:rsidRDefault="00850F7A" w:rsidP="0085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B4F">
        <w:rPr>
          <w:rFonts w:ascii="Times New Roman" w:hAnsi="Times New Roman" w:cs="Times New Roman"/>
          <w:sz w:val="28"/>
          <w:szCs w:val="28"/>
        </w:rPr>
        <w:t>za</w:t>
      </w:r>
      <w:proofErr w:type="gramEnd"/>
      <w:r w:rsidRPr="00CA5B4F">
        <w:rPr>
          <w:rFonts w:ascii="Times New Roman" w:hAnsi="Times New Roman" w:cs="Times New Roman"/>
          <w:sz w:val="28"/>
          <w:szCs w:val="28"/>
        </w:rPr>
        <w:t xml:space="preserve"> bruto zarade zaposlenih u iznosu 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436 600,00</w:t>
      </w:r>
      <w:r w:rsidR="00E651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B4F">
        <w:rPr>
          <w:rFonts w:ascii="Times New Roman" w:hAnsi="Times New Roman" w:cs="Times New Roman"/>
          <w:sz w:val="28"/>
          <w:szCs w:val="28"/>
        </w:rPr>
        <w:t>eura i iste su planirane za jedanaest mjeseci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5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4F">
        <w:rPr>
          <w:rFonts w:ascii="Times New Roman" w:hAnsi="Times New Roman" w:cs="Times New Roman"/>
          <w:sz w:val="28"/>
          <w:szCs w:val="28"/>
        </w:rPr>
        <w:t>godin</w:t>
      </w:r>
      <w:r w:rsidR="00E65130">
        <w:rPr>
          <w:rFonts w:ascii="Times New Roman" w:hAnsi="Times New Roman" w:cs="Times New Roman"/>
          <w:sz w:val="28"/>
          <w:szCs w:val="28"/>
        </w:rPr>
        <w:t>e</w:t>
      </w:r>
      <w:r w:rsidRPr="00CA5B4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CA5B4F">
        <w:rPr>
          <w:rFonts w:ascii="Times New Roman" w:hAnsi="Times New Roman" w:cs="Times New Roman"/>
          <w:sz w:val="28"/>
          <w:szCs w:val="28"/>
        </w:rPr>
        <w:t xml:space="preserve"> zaposleni);</w:t>
      </w:r>
    </w:p>
    <w:p w:rsidR="00850F7A" w:rsidRPr="00CA5B4F" w:rsidRDefault="00850F7A" w:rsidP="00850F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B4F">
        <w:rPr>
          <w:rFonts w:ascii="Times New Roman" w:hAnsi="Times New Roman" w:cs="Times New Roman"/>
          <w:sz w:val="28"/>
          <w:szCs w:val="28"/>
        </w:rPr>
        <w:t xml:space="preserve">na ime programskih aktivnosti planirano je </w:t>
      </w:r>
      <w:r w:rsidRPr="005F471E">
        <w:rPr>
          <w:rFonts w:ascii="Times New Roman" w:hAnsi="Times New Roman" w:cs="Times New Roman"/>
          <w:b/>
          <w:sz w:val="28"/>
          <w:szCs w:val="28"/>
        </w:rPr>
        <w:t>30 000,00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4F">
        <w:rPr>
          <w:rFonts w:ascii="Times New Roman" w:hAnsi="Times New Roman" w:cs="Times New Roman"/>
          <w:sz w:val="28"/>
          <w:szCs w:val="28"/>
        </w:rPr>
        <w:t xml:space="preserve">eura, komunalnih usluga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F471E">
        <w:rPr>
          <w:rFonts w:ascii="Times New Roman" w:hAnsi="Times New Roman" w:cs="Times New Roman"/>
          <w:b/>
          <w:sz w:val="28"/>
          <w:szCs w:val="28"/>
        </w:rPr>
        <w:t xml:space="preserve"> 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4F">
        <w:rPr>
          <w:rFonts w:ascii="Times New Roman" w:hAnsi="Times New Roman" w:cs="Times New Roman"/>
          <w:sz w:val="28"/>
          <w:szCs w:val="28"/>
        </w:rPr>
        <w:t xml:space="preserve">eura i nadoknade članovima Savjeta </w:t>
      </w:r>
      <w:r w:rsidRPr="00251B91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51B91">
        <w:rPr>
          <w:rFonts w:ascii="Times New Roman" w:hAnsi="Times New Roman" w:cs="Times New Roman"/>
          <w:b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4F">
        <w:rPr>
          <w:rFonts w:ascii="Times New Roman" w:hAnsi="Times New Roman" w:cs="Times New Roman"/>
          <w:sz w:val="28"/>
          <w:szCs w:val="28"/>
        </w:rPr>
        <w:t>eura;</w:t>
      </w:r>
    </w:p>
    <w:p w:rsidR="00850F7A" w:rsidRPr="00850F7A" w:rsidRDefault="00850F7A" w:rsidP="0002490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B4F">
        <w:rPr>
          <w:rFonts w:ascii="Times New Roman" w:hAnsi="Times New Roman" w:cs="Times New Roman"/>
          <w:sz w:val="28"/>
          <w:szCs w:val="28"/>
        </w:rPr>
        <w:lastRenderedPageBreak/>
        <w:t>zarada</w:t>
      </w:r>
      <w:proofErr w:type="gramEnd"/>
      <w:r w:rsidRPr="00CA5B4F">
        <w:rPr>
          <w:rFonts w:ascii="Times New Roman" w:hAnsi="Times New Roman" w:cs="Times New Roman"/>
          <w:sz w:val="28"/>
          <w:szCs w:val="28"/>
        </w:rPr>
        <w:t xml:space="preserve"> za decembar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5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B4F">
        <w:rPr>
          <w:rFonts w:ascii="Times New Roman" w:hAnsi="Times New Roman" w:cs="Times New Roman"/>
          <w:sz w:val="28"/>
          <w:szCs w:val="28"/>
        </w:rPr>
        <w:t>godine</w:t>
      </w:r>
      <w:proofErr w:type="gramEnd"/>
      <w:r w:rsidRPr="00CA5B4F">
        <w:rPr>
          <w:rFonts w:ascii="Times New Roman" w:hAnsi="Times New Roman" w:cs="Times New Roman"/>
          <w:sz w:val="28"/>
          <w:szCs w:val="28"/>
        </w:rPr>
        <w:t xml:space="preserve"> u iznosu od </w:t>
      </w:r>
      <w:r w:rsidRPr="00CB6A52">
        <w:rPr>
          <w:rFonts w:ascii="Times New Roman" w:hAnsi="Times New Roman" w:cs="Times New Roman"/>
          <w:b/>
          <w:bCs/>
          <w:sz w:val="28"/>
          <w:szCs w:val="28"/>
        </w:rPr>
        <w:t>39 100,</w:t>
      </w:r>
      <w:r w:rsidR="00E65130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B4F">
        <w:rPr>
          <w:rFonts w:ascii="Times New Roman" w:hAnsi="Times New Roman" w:cs="Times New Roman"/>
          <w:sz w:val="28"/>
          <w:szCs w:val="28"/>
        </w:rPr>
        <w:t>eura planirana je u otplat</w:t>
      </w:r>
      <w:r>
        <w:rPr>
          <w:rFonts w:ascii="Times New Roman" w:hAnsi="Times New Roman" w:cs="Times New Roman"/>
          <w:sz w:val="28"/>
          <w:szCs w:val="28"/>
        </w:rPr>
        <w:t xml:space="preserve">i obaveza iz prethodnog perioda, kao i izdaci za komunalne usluge za dvanaesti mjesec 2021. </w:t>
      </w:r>
      <w:proofErr w:type="gramStart"/>
      <w:r>
        <w:rPr>
          <w:rFonts w:ascii="Times New Roman" w:hAnsi="Times New Roman" w:cs="Times New Roman"/>
          <w:sz w:val="28"/>
          <w:szCs w:val="28"/>
        </w:rPr>
        <w:t>god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iznosu od </w:t>
      </w:r>
      <w:r w:rsidRPr="005F471E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F471E">
        <w:rPr>
          <w:rFonts w:ascii="Times New Roman" w:hAnsi="Times New Roman" w:cs="Times New Roman"/>
          <w:b/>
          <w:sz w:val="28"/>
          <w:szCs w:val="28"/>
        </w:rPr>
        <w:t>00,00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eura.</w:t>
      </w:r>
    </w:p>
    <w:p w:rsidR="001A0F8F" w:rsidRDefault="001A0F8F" w:rsidP="00585B7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23" w:rsidRPr="001D7763" w:rsidRDefault="00107223" w:rsidP="00585B7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763">
        <w:rPr>
          <w:rFonts w:ascii="Times New Roman" w:hAnsi="Times New Roman" w:cs="Times New Roman"/>
          <w:b/>
          <w:sz w:val="32"/>
          <w:szCs w:val="32"/>
        </w:rPr>
        <w:t>Zaključak</w:t>
      </w:r>
    </w:p>
    <w:p w:rsidR="00107223" w:rsidRPr="001D7763" w:rsidRDefault="00107223" w:rsidP="00107223">
      <w:pPr>
        <w:tabs>
          <w:tab w:val="left" w:pos="3585"/>
        </w:tabs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D7763">
        <w:rPr>
          <w:rFonts w:ascii="Times New Roman" w:hAnsi="Times New Roman" w:cs="Times New Roman"/>
          <w:b/>
          <w:sz w:val="32"/>
          <w:szCs w:val="32"/>
        </w:rPr>
        <w:tab/>
      </w:r>
    </w:p>
    <w:p w:rsidR="00107223" w:rsidRPr="001D7763" w:rsidRDefault="00107223" w:rsidP="0010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>Program rada Javne ust</w:t>
      </w:r>
      <w:r w:rsidR="00AA6E9B">
        <w:rPr>
          <w:rFonts w:ascii="Times New Roman" w:hAnsi="Times New Roman" w:cs="Times New Roman"/>
          <w:sz w:val="28"/>
          <w:szCs w:val="28"/>
        </w:rPr>
        <w:t>anove Nikšićko pozorište za 2022</w:t>
      </w:r>
      <w:r w:rsidRPr="001D77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godinu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u cjelini je zasnovan na realnim okvirima. Mjesečni repertoari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biti usklađeni sa epidemiološkim prilikama u zemlji i svijetu. Ukoliko epidemiološka situacija bude povoljna Nikšićko pozorište će u </w:t>
      </w:r>
      <w:proofErr w:type="gramStart"/>
      <w:r w:rsidR="007E335B">
        <w:rPr>
          <w:rFonts w:ascii="Times New Roman" w:hAnsi="Times New Roman" w:cs="Times New Roman"/>
          <w:sz w:val="28"/>
          <w:szCs w:val="28"/>
        </w:rPr>
        <w:t xml:space="preserve">potpunosti </w:t>
      </w:r>
      <w:r w:rsidRPr="001D7763">
        <w:rPr>
          <w:rFonts w:ascii="Times New Roman" w:hAnsi="Times New Roman" w:cs="Times New Roman"/>
          <w:sz w:val="28"/>
          <w:szCs w:val="28"/>
        </w:rPr>
        <w:t xml:space="preserve"> realizovati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planirani jednogodišnji Program rada, tako da će na repertoaru imati </w:t>
      </w:r>
      <w:r w:rsidR="00D316E2">
        <w:rPr>
          <w:rFonts w:ascii="Times New Roman" w:hAnsi="Times New Roman" w:cs="Times New Roman"/>
          <w:sz w:val="28"/>
          <w:szCs w:val="28"/>
        </w:rPr>
        <w:t>skoro</w:t>
      </w:r>
      <w:r w:rsidRPr="001D7763">
        <w:rPr>
          <w:rFonts w:ascii="Times New Roman" w:hAnsi="Times New Roman" w:cs="Times New Roman"/>
          <w:sz w:val="28"/>
          <w:szCs w:val="28"/>
        </w:rPr>
        <w:t xml:space="preserve"> 150 programa, čime će se suštinski zadovoljiti javni interesi građana za pozorišnim i drugim srodnim sadržajima kulture. Svi </w:t>
      </w:r>
      <w:r w:rsidR="007E335B">
        <w:rPr>
          <w:rFonts w:ascii="Times New Roman" w:hAnsi="Times New Roman" w:cs="Times New Roman"/>
          <w:sz w:val="28"/>
          <w:szCs w:val="28"/>
        </w:rPr>
        <w:t>planirani</w:t>
      </w:r>
      <w:r w:rsidRPr="001D7763">
        <w:rPr>
          <w:rFonts w:ascii="Times New Roman" w:hAnsi="Times New Roman" w:cs="Times New Roman"/>
          <w:sz w:val="28"/>
          <w:szCs w:val="28"/>
        </w:rPr>
        <w:t xml:space="preserve"> programi za narednu poslovnu godinu realizovaće se kroz projek</w:t>
      </w:r>
      <w:r w:rsidR="00AA6E9B">
        <w:rPr>
          <w:rFonts w:ascii="Times New Roman" w:hAnsi="Times New Roman" w:cs="Times New Roman"/>
          <w:sz w:val="28"/>
          <w:szCs w:val="28"/>
        </w:rPr>
        <w:t>at „Nikšićka kulturna scena 2022</w:t>
      </w:r>
      <w:r w:rsidRPr="001D7763">
        <w:rPr>
          <w:rFonts w:ascii="Times New Roman" w:hAnsi="Times New Roman" w:cs="Times New Roman"/>
          <w:sz w:val="28"/>
          <w:szCs w:val="28"/>
        </w:rPr>
        <w:t xml:space="preserve">“. Pozorište će na taj način i dalje biti nosilac razvoja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kulture  u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Nikšiću, značajno doprinoseći ukupnom kulturnom miljeu i unapređenju kulturne baštine grada i države. </w:t>
      </w:r>
    </w:p>
    <w:p w:rsidR="00107223" w:rsidRPr="001D7763" w:rsidRDefault="00107223" w:rsidP="001072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 xml:space="preserve">Pozorište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</w:t>
      </w:r>
      <w:r w:rsidR="00D316E2">
        <w:rPr>
          <w:rFonts w:ascii="Times New Roman" w:hAnsi="Times New Roman" w:cs="Times New Roman"/>
          <w:sz w:val="28"/>
          <w:szCs w:val="28"/>
        </w:rPr>
        <w:t>naredne</w:t>
      </w:r>
      <w:r w:rsidRPr="001D7763">
        <w:rPr>
          <w:rFonts w:ascii="Times New Roman" w:hAnsi="Times New Roman" w:cs="Times New Roman"/>
          <w:sz w:val="28"/>
          <w:szCs w:val="28"/>
        </w:rPr>
        <w:t xml:space="preserve"> kalendarske godine realizova</w:t>
      </w:r>
      <w:r w:rsidR="00AA6E9B">
        <w:rPr>
          <w:rFonts w:ascii="Times New Roman" w:hAnsi="Times New Roman" w:cs="Times New Roman"/>
          <w:sz w:val="28"/>
          <w:szCs w:val="28"/>
        </w:rPr>
        <w:t>ti nove premijerne projekte na v</w:t>
      </w:r>
      <w:r w:rsidRPr="001D7763">
        <w:rPr>
          <w:rFonts w:ascii="Times New Roman" w:hAnsi="Times New Roman" w:cs="Times New Roman"/>
          <w:sz w:val="28"/>
          <w:szCs w:val="28"/>
        </w:rPr>
        <w:t>ečern</w:t>
      </w:r>
      <w:r w:rsidR="00AA6E9B">
        <w:rPr>
          <w:rFonts w:ascii="Times New Roman" w:hAnsi="Times New Roman" w:cs="Times New Roman"/>
          <w:sz w:val="28"/>
          <w:szCs w:val="28"/>
        </w:rPr>
        <w:t>joj i d</w:t>
      </w:r>
      <w:r w:rsidRPr="001D7763">
        <w:rPr>
          <w:rFonts w:ascii="Times New Roman" w:hAnsi="Times New Roman" w:cs="Times New Roman"/>
          <w:sz w:val="28"/>
          <w:szCs w:val="28"/>
        </w:rPr>
        <w:t xml:space="preserve">ječijoj sceni. Repertoare na mjesečnim nivoima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sačinjavaće  sadržaji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iz pozorišne, filmske i muzičke umjetnosti. </w:t>
      </w:r>
    </w:p>
    <w:p w:rsidR="00107223" w:rsidRPr="001D7763" w:rsidRDefault="00107223" w:rsidP="001072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>Afirmaciji pozorišne umjetnosti u gradu, državi i regionu nesum</w:t>
      </w:r>
      <w:r w:rsidR="00890707">
        <w:rPr>
          <w:rFonts w:ascii="Times New Roman" w:hAnsi="Times New Roman" w:cs="Times New Roman"/>
          <w:sz w:val="28"/>
          <w:szCs w:val="28"/>
        </w:rPr>
        <w:t>n</w:t>
      </w:r>
      <w:r w:rsidRPr="001D7763">
        <w:rPr>
          <w:rFonts w:ascii="Times New Roman" w:hAnsi="Times New Roman" w:cs="Times New Roman"/>
          <w:sz w:val="28"/>
          <w:szCs w:val="28"/>
        </w:rPr>
        <w:t>jivo doprinosi „Međunarodni festival glumca “, jedinstvena i prepoznatljiva smotra glum</w:t>
      </w:r>
      <w:r w:rsidR="00D316E2">
        <w:rPr>
          <w:rFonts w:ascii="Times New Roman" w:hAnsi="Times New Roman" w:cs="Times New Roman"/>
          <w:sz w:val="28"/>
          <w:szCs w:val="28"/>
        </w:rPr>
        <w:t>e</w:t>
      </w:r>
      <w:r w:rsidRPr="001D7763">
        <w:rPr>
          <w:rFonts w:ascii="Times New Roman" w:hAnsi="Times New Roman" w:cs="Times New Roman"/>
          <w:sz w:val="28"/>
          <w:szCs w:val="28"/>
        </w:rPr>
        <w:t>, po čijem uzoru se organizuju slični festivali u zemljama okruženja.</w:t>
      </w:r>
    </w:p>
    <w:p w:rsidR="00107223" w:rsidRPr="001D7763" w:rsidRDefault="00107223" w:rsidP="001072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 xml:space="preserve">Izdavačka djelatnost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će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planiranim projektima doprinijeti afirmaciji i značaju pozorišne umjetnosti u Nikšiću i Crnoj Gori. </w:t>
      </w:r>
    </w:p>
    <w:p w:rsidR="00107223" w:rsidRPr="001D7763" w:rsidRDefault="00107223" w:rsidP="001072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7763">
        <w:rPr>
          <w:rFonts w:ascii="Times New Roman" w:hAnsi="Times New Roman" w:cs="Times New Roman"/>
          <w:sz w:val="28"/>
          <w:szCs w:val="28"/>
        </w:rPr>
        <w:t xml:space="preserve">Segmenti Programa rada Javne ustanove Nikšićko pozorište za 2021. </w:t>
      </w:r>
      <w:proofErr w:type="gramStart"/>
      <w:r w:rsidRPr="001D7763">
        <w:rPr>
          <w:rFonts w:ascii="Times New Roman" w:hAnsi="Times New Roman" w:cs="Times New Roman"/>
          <w:sz w:val="28"/>
          <w:szCs w:val="28"/>
        </w:rPr>
        <w:t>godinu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pokazuju potpunu opravdanost jer će ostaviti trajan pečat u crnogorskom pozorišnom stvaralaštvu i prezentaciji Nikšića i Crne Gore. Planirani koncepti biće isfinansirani iz budžetskih sredstava osnivača - Opštine Nikšić, podrške Ministarstva</w:t>
      </w:r>
      <w:r w:rsidR="00AA6E9B">
        <w:rPr>
          <w:rFonts w:ascii="Times New Roman" w:hAnsi="Times New Roman" w:cs="Times New Roman"/>
          <w:sz w:val="28"/>
          <w:szCs w:val="28"/>
        </w:rPr>
        <w:t xml:space="preserve"> prosvjete, nauke,</w:t>
      </w:r>
      <w:r w:rsidRPr="001D7763">
        <w:rPr>
          <w:rFonts w:ascii="Times New Roman" w:hAnsi="Times New Roman" w:cs="Times New Roman"/>
          <w:sz w:val="28"/>
          <w:szCs w:val="28"/>
        </w:rPr>
        <w:t xml:space="preserve"> </w:t>
      </w:r>
      <w:r w:rsidR="00AA6E9B">
        <w:rPr>
          <w:rFonts w:ascii="Times New Roman" w:hAnsi="Times New Roman" w:cs="Times New Roman"/>
          <w:sz w:val="28"/>
          <w:szCs w:val="28"/>
        </w:rPr>
        <w:t xml:space="preserve">culture i </w:t>
      </w:r>
      <w:proofErr w:type="gramStart"/>
      <w:r w:rsidR="00AA6E9B">
        <w:rPr>
          <w:rFonts w:ascii="Times New Roman" w:hAnsi="Times New Roman" w:cs="Times New Roman"/>
          <w:sz w:val="28"/>
          <w:szCs w:val="28"/>
        </w:rPr>
        <w:t>sporta</w:t>
      </w:r>
      <w:r w:rsidRPr="001D7763">
        <w:rPr>
          <w:rFonts w:ascii="Times New Roman" w:hAnsi="Times New Roman" w:cs="Times New Roman"/>
          <w:sz w:val="28"/>
          <w:szCs w:val="28"/>
        </w:rPr>
        <w:t xml:space="preserve">  u</w:t>
      </w:r>
      <w:proofErr w:type="gramEnd"/>
      <w:r w:rsidRPr="001D7763">
        <w:rPr>
          <w:rFonts w:ascii="Times New Roman" w:hAnsi="Times New Roman" w:cs="Times New Roman"/>
          <w:sz w:val="28"/>
          <w:szCs w:val="28"/>
        </w:rPr>
        <w:t xml:space="preserve"> Vladi Crne Gore i sopstvenih prihoda.</w:t>
      </w:r>
    </w:p>
    <w:p w:rsidR="00107223" w:rsidRPr="001D7763" w:rsidRDefault="00107223" w:rsidP="0010722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223" w:rsidRPr="001D7763" w:rsidRDefault="00107223" w:rsidP="001072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223" w:rsidRDefault="00107223" w:rsidP="00107223">
      <w:pPr>
        <w:jc w:val="both"/>
      </w:pPr>
    </w:p>
    <w:p w:rsidR="00107223" w:rsidRDefault="00107223" w:rsidP="00107223">
      <w:pPr>
        <w:jc w:val="both"/>
      </w:pPr>
    </w:p>
    <w:p w:rsidR="00303395" w:rsidRDefault="00303395" w:rsidP="00107223">
      <w:pPr>
        <w:jc w:val="both"/>
      </w:pPr>
    </w:p>
    <w:p w:rsidR="00D316E2" w:rsidRPr="001D7763" w:rsidRDefault="00D316E2" w:rsidP="00D316E2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l-SI"/>
        </w:rPr>
      </w:pPr>
      <w:r w:rsidRPr="001D7763">
        <w:rPr>
          <w:rFonts w:ascii="Times New Roman" w:hAnsi="Times New Roman" w:cs="Times New Roman"/>
          <w:b/>
          <w:bCs/>
          <w:sz w:val="32"/>
          <w:szCs w:val="32"/>
          <w:lang w:val="sl-SI"/>
        </w:rPr>
        <w:t>Obrazloženje</w:t>
      </w:r>
    </w:p>
    <w:p w:rsidR="00D316E2" w:rsidRPr="001D7763" w:rsidRDefault="00D316E2" w:rsidP="00D316E2">
      <w:pPr>
        <w:rPr>
          <w:rFonts w:ascii="Times New Roman" w:hAnsi="Times New Roman" w:cs="Times New Roman"/>
          <w:b/>
          <w:bCs/>
          <w:sz w:val="32"/>
          <w:szCs w:val="32"/>
          <w:lang w:val="sl-SI"/>
        </w:rPr>
      </w:pPr>
    </w:p>
    <w:p w:rsidR="00D316E2" w:rsidRPr="001D7763" w:rsidRDefault="00D316E2" w:rsidP="00D316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sl-SI"/>
        </w:rPr>
      </w:pPr>
      <w:r w:rsidRPr="001D7763">
        <w:rPr>
          <w:rFonts w:ascii="Times New Roman" w:hAnsi="Times New Roman" w:cs="Times New Roman"/>
          <w:sz w:val="28"/>
          <w:szCs w:val="28"/>
          <w:lang w:val="sl-SI"/>
        </w:rPr>
        <w:t>Pravni osnov za podnošenje Programa rada, sadržan je u članu 43 Statuta Javne ustanove Nikšićko pozorište, kojim je predviđeno da saglasnost na Program rada Pozorišta daje Osnivač.</w:t>
      </w:r>
    </w:p>
    <w:p w:rsidR="00D316E2" w:rsidRPr="001D7763" w:rsidRDefault="00303395" w:rsidP="00D31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ab/>
        <w:t>Programom rada za 2022</w:t>
      </w:r>
      <w:r w:rsidR="00D316E2" w:rsidRPr="001D7763">
        <w:rPr>
          <w:rFonts w:ascii="Times New Roman" w:hAnsi="Times New Roman" w:cs="Times New Roman"/>
          <w:sz w:val="28"/>
          <w:szCs w:val="28"/>
          <w:lang w:val="sl-SI"/>
        </w:rPr>
        <w:t xml:space="preserve">. godinu predviđene su planirane aktivnosti JU Nikšićko pozorište na godišnjem nivou, a koje se odnose na produkcijsku </w:t>
      </w:r>
      <w:r w:rsidR="00E020C7">
        <w:rPr>
          <w:rFonts w:ascii="Times New Roman" w:hAnsi="Times New Roman" w:cs="Times New Roman"/>
          <w:sz w:val="28"/>
          <w:szCs w:val="28"/>
          <w:lang w:val="sl-SI"/>
        </w:rPr>
        <w:t>i izdavačku djelatnost, filmske,</w:t>
      </w:r>
      <w:r w:rsidR="00D316E2" w:rsidRPr="001D7763">
        <w:rPr>
          <w:rFonts w:ascii="Times New Roman" w:hAnsi="Times New Roman" w:cs="Times New Roman"/>
          <w:sz w:val="28"/>
          <w:szCs w:val="28"/>
          <w:lang w:val="sl-SI"/>
        </w:rPr>
        <w:t xml:space="preserve"> muzičke</w:t>
      </w:r>
      <w:r w:rsidR="00E020C7">
        <w:rPr>
          <w:rFonts w:ascii="Times New Roman" w:hAnsi="Times New Roman" w:cs="Times New Roman"/>
          <w:sz w:val="28"/>
          <w:szCs w:val="28"/>
          <w:lang w:val="sl-SI"/>
        </w:rPr>
        <w:t xml:space="preserve"> i druge umjetničke</w:t>
      </w:r>
      <w:r w:rsidR="00D316E2" w:rsidRPr="001D7763">
        <w:rPr>
          <w:rFonts w:ascii="Times New Roman" w:hAnsi="Times New Roman" w:cs="Times New Roman"/>
          <w:sz w:val="28"/>
          <w:szCs w:val="28"/>
          <w:lang w:val="sl-SI"/>
        </w:rPr>
        <w:t xml:space="preserve"> programe, te sa prikazanom procjenom izdataka za realizaciju programskih aktivnosti, kao i ostalih segmenata neophodnih za funkcionisanje ustanove, u skladu sa zakonskom regulativom.</w:t>
      </w:r>
    </w:p>
    <w:p w:rsidR="00D316E2" w:rsidRPr="001D7763" w:rsidRDefault="00D316E2" w:rsidP="00D316E2">
      <w:pPr>
        <w:spacing w:after="0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316E2" w:rsidRPr="001D7763" w:rsidRDefault="00D316E2" w:rsidP="00D316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316E2" w:rsidRPr="001D7763" w:rsidRDefault="00D316E2" w:rsidP="00D316E2">
      <w:pPr>
        <w:jc w:val="both"/>
        <w:rPr>
          <w:rFonts w:ascii="Times New Roman" w:hAnsi="Times New Roman" w:cs="Times New Roman"/>
          <w:sz w:val="28"/>
          <w:szCs w:val="28"/>
          <w:lang w:val="sl-SI"/>
        </w:rPr>
      </w:pPr>
    </w:p>
    <w:p w:rsidR="00D316E2" w:rsidRDefault="00D316E2" w:rsidP="00D316E2">
      <w:pPr>
        <w:rPr>
          <w:rFonts w:ascii="Times New Roman" w:hAnsi="Times New Roman" w:cs="Times New Roman"/>
          <w:sz w:val="28"/>
          <w:szCs w:val="28"/>
          <w:lang w:val="sr-Latn-CS"/>
        </w:rPr>
      </w:pPr>
      <w:r w:rsidRPr="001D7763">
        <w:rPr>
          <w:rFonts w:ascii="Times New Roman" w:hAnsi="Times New Roman" w:cs="Times New Roman"/>
          <w:sz w:val="28"/>
          <w:szCs w:val="28"/>
          <w:lang w:val="sr-Latn-CS"/>
        </w:rPr>
        <w:t xml:space="preserve">                                                                                          </w:t>
      </w:r>
    </w:p>
    <w:p w:rsidR="00D316E2" w:rsidRPr="001D7763" w:rsidRDefault="000458A9" w:rsidP="000458A9">
      <w:pPr>
        <w:ind w:left="5760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       </w:t>
      </w:r>
      <w:r w:rsidR="00AA6E9B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CS"/>
        </w:rPr>
        <w:t>V.D.</w:t>
      </w:r>
      <w:r w:rsidR="00AA6E9B">
        <w:rPr>
          <w:rFonts w:ascii="Times New Roman" w:hAnsi="Times New Roman" w:cs="Times New Roman"/>
          <w:sz w:val="28"/>
          <w:szCs w:val="28"/>
          <w:lang w:val="sr-Latn-CS"/>
        </w:rPr>
        <w:t xml:space="preserve">  </w:t>
      </w:r>
      <w:r w:rsidR="00D316E2" w:rsidRPr="001D7763">
        <w:rPr>
          <w:rFonts w:ascii="Times New Roman" w:hAnsi="Times New Roman" w:cs="Times New Roman"/>
          <w:sz w:val="28"/>
          <w:szCs w:val="28"/>
          <w:lang w:val="sr-Latn-CS"/>
        </w:rPr>
        <w:t>D I R E K T O R</w:t>
      </w:r>
    </w:p>
    <w:p w:rsidR="00D316E2" w:rsidRPr="001D7763" w:rsidRDefault="00D316E2" w:rsidP="00D316E2">
      <w:pPr>
        <w:ind w:left="2832"/>
        <w:rPr>
          <w:rFonts w:ascii="Times New Roman" w:hAnsi="Times New Roman" w:cs="Times New Roman"/>
          <w:sz w:val="28"/>
          <w:szCs w:val="28"/>
          <w:lang w:val="sr-Latn-CS"/>
        </w:rPr>
      </w:pPr>
      <w:r w:rsidRPr="001D77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AA6E9B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="00C23F9B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AA6E9B">
        <w:rPr>
          <w:rFonts w:ascii="Times New Roman" w:hAnsi="Times New Roman" w:cs="Times New Roman"/>
          <w:sz w:val="28"/>
          <w:szCs w:val="28"/>
          <w:lang w:val="sr-Latn-CS"/>
        </w:rPr>
        <w:t>Radinko Krulanović</w:t>
      </w:r>
      <w:r w:rsidR="002316A3">
        <w:rPr>
          <w:rFonts w:ascii="Times New Roman" w:hAnsi="Times New Roman" w:cs="Times New Roman"/>
          <w:sz w:val="28"/>
          <w:szCs w:val="28"/>
          <w:lang w:val="sr-Latn-CS"/>
        </w:rPr>
        <w:t>, s.r.</w:t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ab/>
      </w:r>
      <w:r w:rsidRPr="001D7763">
        <w:rPr>
          <w:rFonts w:ascii="Times New Roman" w:hAnsi="Times New Roman" w:cs="Times New Roman"/>
          <w:sz w:val="28"/>
          <w:szCs w:val="28"/>
          <w:lang w:val="sr-Latn-CS"/>
        </w:rPr>
        <w:tab/>
        <w:t xml:space="preserve">                                                                                                                                            </w:t>
      </w:r>
    </w:p>
    <w:p w:rsidR="00D316E2" w:rsidRPr="001D7763" w:rsidRDefault="00D316E2" w:rsidP="00D316E2">
      <w:pPr>
        <w:rPr>
          <w:rFonts w:ascii="Times New Roman" w:hAnsi="Times New Roman" w:cs="Times New Roman"/>
          <w:sz w:val="28"/>
          <w:szCs w:val="28"/>
          <w:lang w:val="sr-Latn-CS"/>
        </w:rPr>
      </w:pPr>
    </w:p>
    <w:p w:rsidR="00D316E2" w:rsidRPr="001D7763" w:rsidRDefault="00D316E2" w:rsidP="00D316E2"/>
    <w:p w:rsidR="00107223" w:rsidRDefault="00107223" w:rsidP="00107223">
      <w:pPr>
        <w:jc w:val="both"/>
      </w:pPr>
    </w:p>
    <w:sectPr w:rsidR="00107223" w:rsidSect="00CE60DE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995" w:rsidRDefault="00984995" w:rsidP="00CE60DE">
      <w:pPr>
        <w:spacing w:after="0" w:line="240" w:lineRule="auto"/>
      </w:pPr>
      <w:r>
        <w:separator/>
      </w:r>
    </w:p>
  </w:endnote>
  <w:endnote w:type="continuationSeparator" w:id="0">
    <w:p w:rsidR="00984995" w:rsidRDefault="00984995" w:rsidP="00CE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5122746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7A27" w:rsidRPr="00381D47" w:rsidRDefault="00B8595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81D47">
          <w:rPr>
            <w:rFonts w:ascii="Times New Roman" w:hAnsi="Times New Roman" w:cs="Times New Roman"/>
            <w:sz w:val="24"/>
          </w:rPr>
          <w:fldChar w:fldCharType="begin"/>
        </w:r>
        <w:r w:rsidR="00037A27" w:rsidRPr="00381D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1D47">
          <w:rPr>
            <w:rFonts w:ascii="Times New Roman" w:hAnsi="Times New Roman" w:cs="Times New Roman"/>
            <w:sz w:val="24"/>
          </w:rPr>
          <w:fldChar w:fldCharType="separate"/>
        </w:r>
        <w:r w:rsidR="00974AF4">
          <w:rPr>
            <w:rFonts w:ascii="Times New Roman" w:hAnsi="Times New Roman" w:cs="Times New Roman"/>
            <w:noProof/>
            <w:sz w:val="24"/>
          </w:rPr>
          <w:t>1</w:t>
        </w:r>
        <w:r w:rsidRPr="00381D4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37A27" w:rsidRPr="00381D47" w:rsidRDefault="00037A27">
    <w:pPr>
      <w:pStyle w:val="Foo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27" w:rsidRDefault="00037A27">
    <w:pPr>
      <w:pStyle w:val="Footer"/>
      <w:jc w:val="center"/>
    </w:pPr>
  </w:p>
  <w:p w:rsidR="00037A27" w:rsidRDefault="00037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995" w:rsidRDefault="00984995" w:rsidP="00CE60DE">
      <w:pPr>
        <w:spacing w:after="0" w:line="240" w:lineRule="auto"/>
      </w:pPr>
      <w:r>
        <w:separator/>
      </w:r>
    </w:p>
  </w:footnote>
  <w:footnote w:type="continuationSeparator" w:id="0">
    <w:p w:rsidR="00984995" w:rsidRDefault="00984995" w:rsidP="00CE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B44C4"/>
    <w:multiLevelType w:val="hybridMultilevel"/>
    <w:tmpl w:val="4A40E53E"/>
    <w:lvl w:ilvl="0" w:tplc="BC86E6E4">
      <w:start w:val="30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C143814"/>
    <w:multiLevelType w:val="hybridMultilevel"/>
    <w:tmpl w:val="1D50E8D2"/>
    <w:lvl w:ilvl="0" w:tplc="081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5D02A8B"/>
    <w:multiLevelType w:val="hybridMultilevel"/>
    <w:tmpl w:val="C3DC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1011C"/>
    <w:multiLevelType w:val="hybridMultilevel"/>
    <w:tmpl w:val="D3D06110"/>
    <w:lvl w:ilvl="0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D9A5B27"/>
    <w:multiLevelType w:val="hybridMultilevel"/>
    <w:tmpl w:val="0C7C2E7E"/>
    <w:lvl w:ilvl="0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F67"/>
    <w:rsid w:val="00014B32"/>
    <w:rsid w:val="00024901"/>
    <w:rsid w:val="000260DE"/>
    <w:rsid w:val="00033275"/>
    <w:rsid w:val="00037A27"/>
    <w:rsid w:val="000458A9"/>
    <w:rsid w:val="000938DB"/>
    <w:rsid w:val="00107223"/>
    <w:rsid w:val="0012060C"/>
    <w:rsid w:val="00133636"/>
    <w:rsid w:val="00194973"/>
    <w:rsid w:val="001A0F8F"/>
    <w:rsid w:val="001D1F67"/>
    <w:rsid w:val="001F5F57"/>
    <w:rsid w:val="002316A3"/>
    <w:rsid w:val="00240404"/>
    <w:rsid w:val="00272734"/>
    <w:rsid w:val="002C065C"/>
    <w:rsid w:val="002C0C88"/>
    <w:rsid w:val="00303395"/>
    <w:rsid w:val="00317EBC"/>
    <w:rsid w:val="0034538F"/>
    <w:rsid w:val="00363CB0"/>
    <w:rsid w:val="00365E63"/>
    <w:rsid w:val="00381D47"/>
    <w:rsid w:val="003E6BD1"/>
    <w:rsid w:val="003F01EE"/>
    <w:rsid w:val="003F21C4"/>
    <w:rsid w:val="0044517E"/>
    <w:rsid w:val="004B6149"/>
    <w:rsid w:val="004F1AB1"/>
    <w:rsid w:val="00556CAC"/>
    <w:rsid w:val="00564F2A"/>
    <w:rsid w:val="00585B78"/>
    <w:rsid w:val="005861E2"/>
    <w:rsid w:val="005D10CA"/>
    <w:rsid w:val="00616BA0"/>
    <w:rsid w:val="00634D16"/>
    <w:rsid w:val="00671855"/>
    <w:rsid w:val="006E6699"/>
    <w:rsid w:val="007C1CE9"/>
    <w:rsid w:val="007C27EF"/>
    <w:rsid w:val="007E335B"/>
    <w:rsid w:val="008360AF"/>
    <w:rsid w:val="00850F7A"/>
    <w:rsid w:val="00890707"/>
    <w:rsid w:val="008A0E1D"/>
    <w:rsid w:val="009041E4"/>
    <w:rsid w:val="009260F2"/>
    <w:rsid w:val="00960199"/>
    <w:rsid w:val="00970A93"/>
    <w:rsid w:val="00974AF4"/>
    <w:rsid w:val="0097715A"/>
    <w:rsid w:val="00984995"/>
    <w:rsid w:val="009955FA"/>
    <w:rsid w:val="00A55202"/>
    <w:rsid w:val="00AA6E9B"/>
    <w:rsid w:val="00B13739"/>
    <w:rsid w:val="00B17147"/>
    <w:rsid w:val="00B713FC"/>
    <w:rsid w:val="00B85954"/>
    <w:rsid w:val="00B92F58"/>
    <w:rsid w:val="00BA63AA"/>
    <w:rsid w:val="00BE0C65"/>
    <w:rsid w:val="00C23F9B"/>
    <w:rsid w:val="00C240AD"/>
    <w:rsid w:val="00C904D9"/>
    <w:rsid w:val="00CA6F66"/>
    <w:rsid w:val="00CB6916"/>
    <w:rsid w:val="00CD38FD"/>
    <w:rsid w:val="00CE60DE"/>
    <w:rsid w:val="00D316E2"/>
    <w:rsid w:val="00D63C23"/>
    <w:rsid w:val="00DA7415"/>
    <w:rsid w:val="00E020C7"/>
    <w:rsid w:val="00E456A3"/>
    <w:rsid w:val="00E60D04"/>
    <w:rsid w:val="00E65130"/>
    <w:rsid w:val="00E80B00"/>
    <w:rsid w:val="00ED39FC"/>
    <w:rsid w:val="00ED7DDF"/>
    <w:rsid w:val="00F0539D"/>
    <w:rsid w:val="00F0560D"/>
    <w:rsid w:val="00F65538"/>
    <w:rsid w:val="00F75037"/>
    <w:rsid w:val="00F83ED0"/>
    <w:rsid w:val="00FC03BF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7B673-CFDD-4A9C-9B80-ECB4FD17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67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1F6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0D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E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DE"/>
    <w:rPr>
      <w:rFonts w:eastAsiaTheme="minorEastAsi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63A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CBC6F-E682-40BC-8C44-78F227BD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Microsoft account</cp:lastModifiedBy>
  <cp:revision>19</cp:revision>
  <cp:lastPrinted>2021-12-08T09:23:00Z</cp:lastPrinted>
  <dcterms:created xsi:type="dcterms:W3CDTF">2021-11-17T08:04:00Z</dcterms:created>
  <dcterms:modified xsi:type="dcterms:W3CDTF">2021-12-08T11:12:00Z</dcterms:modified>
</cp:coreProperties>
</file>