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ED" w:rsidRDefault="005F4AED" w:rsidP="005F4AED">
      <w:pPr>
        <w:rPr>
          <w:rFonts w:ascii="Broadway" w:hAnsi="Broadway"/>
          <w:i/>
          <w:color w:val="FF0000"/>
          <w:sz w:val="28"/>
          <w:szCs w:val="28"/>
          <w:lang w:val="sl-SI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2DC579D" wp14:editId="1A19EE2A">
            <wp:simplePos x="0" y="0"/>
            <wp:positionH relativeFrom="column">
              <wp:posOffset>690245</wp:posOffset>
            </wp:positionH>
            <wp:positionV relativeFrom="paragraph">
              <wp:posOffset>76200</wp:posOffset>
            </wp:positionV>
            <wp:extent cx="571500" cy="657225"/>
            <wp:effectExtent l="19050" t="0" r="0" b="0"/>
            <wp:wrapNone/>
            <wp:docPr id="3" name="Picture 3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FD289B6" wp14:editId="7AF9FDC1">
            <wp:simplePos x="0" y="0"/>
            <wp:positionH relativeFrom="column">
              <wp:posOffset>4376420</wp:posOffset>
            </wp:positionH>
            <wp:positionV relativeFrom="paragraph">
              <wp:posOffset>-6985</wp:posOffset>
            </wp:positionV>
            <wp:extent cx="723900" cy="742950"/>
            <wp:effectExtent l="19050" t="0" r="0" b="0"/>
            <wp:wrapNone/>
            <wp:docPr id="2" name="Picture 2" descr="Logo Dnevni Ce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nevni Cent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AED" w:rsidRPr="00562567" w:rsidRDefault="005F4AED" w:rsidP="005F4AED">
      <w:pPr>
        <w:spacing w:line="360" w:lineRule="auto"/>
        <w:jc w:val="center"/>
        <w:rPr>
          <w:rFonts w:ascii="Arial Black" w:hAnsi="Arial Black"/>
          <w:sz w:val="24"/>
          <w:szCs w:val="24"/>
          <w:lang w:val="sl-SI"/>
        </w:rPr>
      </w:pPr>
      <w:r w:rsidRPr="00562567">
        <w:rPr>
          <w:rFonts w:ascii="Arial Black" w:hAnsi="Arial Black"/>
          <w:sz w:val="24"/>
          <w:szCs w:val="24"/>
          <w:lang w:val="sl-SI"/>
        </w:rPr>
        <w:t>OPŠTINA NIKŠIĆ</w:t>
      </w:r>
    </w:p>
    <w:p w:rsidR="005F4AED" w:rsidRPr="005F4AED" w:rsidRDefault="005F4AED" w:rsidP="005F4AED">
      <w:pPr>
        <w:spacing w:line="240" w:lineRule="auto"/>
        <w:jc w:val="center"/>
        <w:rPr>
          <w:i/>
          <w:color w:val="FF0000"/>
          <w:sz w:val="28"/>
          <w:szCs w:val="28"/>
          <w:lang w:val="sl-SI"/>
        </w:rPr>
      </w:pPr>
      <w:r w:rsidRPr="005F4AED">
        <w:rPr>
          <w:rFonts w:ascii="Broadway" w:hAnsi="Broadway"/>
          <w:i/>
          <w:color w:val="FF0000"/>
          <w:sz w:val="28"/>
          <w:szCs w:val="28"/>
          <w:lang w:val="sl-SI"/>
        </w:rPr>
        <w:t xml:space="preserve">JU Dnevni centar za djecu sa </w:t>
      </w:r>
      <w:r w:rsidRPr="005F4AED">
        <w:rPr>
          <w:rFonts w:ascii="Broadway" w:hAnsi="Broadway"/>
          <w:i/>
          <w:color w:val="FF0000"/>
          <w:sz w:val="28"/>
          <w:szCs w:val="28"/>
          <w:u w:color="00CCFF"/>
          <w:lang w:val="sl-SI"/>
        </w:rPr>
        <w:t>smetnjama u razvoju i osobe sa invaliditetom Nikši</w:t>
      </w:r>
      <w:r w:rsidRPr="005F4AED">
        <w:rPr>
          <w:rFonts w:ascii="Arial Black" w:hAnsi="Arial Black"/>
          <w:i/>
          <w:color w:val="FF0000"/>
          <w:sz w:val="28"/>
          <w:szCs w:val="28"/>
          <w:u w:color="00CCFF"/>
          <w:lang w:val="sl-SI"/>
        </w:rPr>
        <w:t>ć</w:t>
      </w:r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583DFA" w:rsidRPr="00E62D63" w:rsidRDefault="00BE5BAB" w:rsidP="00583DFA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Broj</w:t>
      </w:r>
      <w:r w:rsidR="00426571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627C72">
        <w:rPr>
          <w:rFonts w:ascii="Arial" w:hAnsi="Arial" w:cs="Arial"/>
          <w:sz w:val="24"/>
          <w:szCs w:val="24"/>
        </w:rPr>
        <w:t>84/24</w:t>
      </w:r>
    </w:p>
    <w:p w:rsidR="005F4AED" w:rsidRPr="00BE2DAA" w:rsidRDefault="00BE5BAB" w:rsidP="00583DF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627C72">
        <w:rPr>
          <w:rFonts w:ascii="Arial" w:hAnsi="Arial" w:cs="Arial"/>
          <w:sz w:val="24"/>
          <w:szCs w:val="24"/>
        </w:rPr>
        <w:t>Nikšić</w:t>
      </w:r>
      <w:r w:rsidR="00426571" w:rsidRPr="00627C7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27C72" w:rsidRPr="00627C72">
        <w:rPr>
          <w:rFonts w:ascii="Arial" w:hAnsi="Arial" w:cs="Arial"/>
          <w:sz w:val="24"/>
          <w:szCs w:val="24"/>
        </w:rPr>
        <w:t>05.03.2024</w:t>
      </w:r>
      <w:r w:rsidR="00BE2DAA" w:rsidRPr="00627C72">
        <w:rPr>
          <w:rFonts w:ascii="Arial" w:hAnsi="Arial" w:cs="Arial"/>
          <w:sz w:val="24"/>
          <w:szCs w:val="24"/>
          <w:lang w:val="sr-Cyrl-RS"/>
        </w:rPr>
        <w:t>.</w:t>
      </w:r>
    </w:p>
    <w:p w:rsidR="005F4AED" w:rsidRDefault="005F4AED" w:rsidP="00583DFA">
      <w:pPr>
        <w:jc w:val="both"/>
        <w:rPr>
          <w:rFonts w:ascii="Arial" w:hAnsi="Arial" w:cs="Arial"/>
          <w:sz w:val="24"/>
          <w:szCs w:val="24"/>
        </w:rPr>
      </w:pPr>
    </w:p>
    <w:p w:rsidR="005F4AED" w:rsidRPr="00583DFA" w:rsidRDefault="005F4AED" w:rsidP="00583DFA">
      <w:pPr>
        <w:jc w:val="both"/>
        <w:rPr>
          <w:rFonts w:ascii="Arial" w:hAnsi="Arial" w:cs="Arial"/>
          <w:sz w:val="24"/>
          <w:szCs w:val="24"/>
        </w:rPr>
      </w:pPr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232248" w:rsidRPr="00232248" w:rsidRDefault="00232248" w:rsidP="00232248">
      <w:pPr>
        <w:jc w:val="center"/>
        <w:rPr>
          <w:rFonts w:ascii="Arial" w:hAnsi="Arial" w:cs="Arial"/>
          <w:b/>
          <w:sz w:val="24"/>
          <w:szCs w:val="24"/>
        </w:rPr>
      </w:pPr>
      <w:r w:rsidRPr="00232248">
        <w:rPr>
          <w:rFonts w:ascii="Arial" w:hAnsi="Arial" w:cs="Arial"/>
          <w:b/>
          <w:sz w:val="24"/>
          <w:szCs w:val="24"/>
        </w:rPr>
        <w:t xml:space="preserve">IZVJEŠTAJ O </w:t>
      </w:r>
      <w:proofErr w:type="gramStart"/>
      <w:r w:rsidRPr="00232248">
        <w:rPr>
          <w:rFonts w:ascii="Arial" w:hAnsi="Arial" w:cs="Arial"/>
          <w:b/>
          <w:sz w:val="24"/>
          <w:szCs w:val="24"/>
        </w:rPr>
        <w:t>RADU  I</w:t>
      </w:r>
      <w:proofErr w:type="gramEnd"/>
      <w:r w:rsidRPr="00232248">
        <w:rPr>
          <w:rFonts w:ascii="Arial" w:hAnsi="Arial" w:cs="Arial"/>
          <w:b/>
          <w:sz w:val="24"/>
          <w:szCs w:val="24"/>
        </w:rPr>
        <w:t xml:space="preserve"> FINANSIJSKOM POSLOVANJU</w:t>
      </w:r>
    </w:p>
    <w:p w:rsidR="00232248" w:rsidRPr="00232248" w:rsidRDefault="00232248" w:rsidP="00232248">
      <w:pPr>
        <w:jc w:val="center"/>
        <w:rPr>
          <w:rFonts w:ascii="Arial" w:hAnsi="Arial" w:cs="Arial"/>
          <w:b/>
          <w:sz w:val="24"/>
          <w:szCs w:val="24"/>
        </w:rPr>
      </w:pPr>
      <w:r w:rsidRPr="00232248">
        <w:rPr>
          <w:rFonts w:ascii="Arial" w:hAnsi="Arial" w:cs="Arial"/>
          <w:b/>
          <w:sz w:val="24"/>
          <w:szCs w:val="24"/>
        </w:rPr>
        <w:t>JAVNE USTANOVE DNEVNI CENTAR ZA DJECU SA SMETNJAMA U RAZVOJU</w:t>
      </w:r>
    </w:p>
    <w:p w:rsidR="00232248" w:rsidRPr="00232248" w:rsidRDefault="00232248" w:rsidP="00232248">
      <w:pPr>
        <w:jc w:val="center"/>
        <w:rPr>
          <w:rFonts w:ascii="Arial" w:hAnsi="Arial" w:cs="Arial"/>
          <w:b/>
          <w:sz w:val="24"/>
          <w:szCs w:val="24"/>
        </w:rPr>
      </w:pPr>
      <w:r w:rsidRPr="00232248">
        <w:rPr>
          <w:rFonts w:ascii="Arial" w:hAnsi="Arial" w:cs="Arial"/>
          <w:b/>
          <w:sz w:val="24"/>
          <w:szCs w:val="24"/>
        </w:rPr>
        <w:t>I OSOBE SA INVALIDITETOM NIKŠIĆ</w:t>
      </w:r>
    </w:p>
    <w:p w:rsidR="00583DFA" w:rsidRPr="005F4AED" w:rsidRDefault="00232248" w:rsidP="00232248">
      <w:pPr>
        <w:jc w:val="center"/>
        <w:rPr>
          <w:rFonts w:ascii="Arial" w:hAnsi="Arial" w:cs="Arial"/>
          <w:b/>
          <w:sz w:val="24"/>
          <w:szCs w:val="24"/>
        </w:rPr>
      </w:pPr>
      <w:r w:rsidRPr="00232248">
        <w:rPr>
          <w:rFonts w:ascii="Arial" w:hAnsi="Arial" w:cs="Arial"/>
          <w:b/>
          <w:sz w:val="24"/>
          <w:szCs w:val="24"/>
        </w:rPr>
        <w:t>ZA 202</w:t>
      </w:r>
      <w:r w:rsidR="00BE5BAB">
        <w:rPr>
          <w:rFonts w:ascii="Arial" w:hAnsi="Arial" w:cs="Arial"/>
          <w:b/>
          <w:sz w:val="24"/>
          <w:szCs w:val="24"/>
        </w:rPr>
        <w:t>3</w:t>
      </w:r>
      <w:r w:rsidRPr="00232248">
        <w:rPr>
          <w:rFonts w:ascii="Arial" w:hAnsi="Arial" w:cs="Arial"/>
          <w:b/>
          <w:sz w:val="24"/>
          <w:szCs w:val="24"/>
        </w:rPr>
        <w:t>. GODINU</w:t>
      </w:r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583DFA" w:rsidRPr="00583DFA" w:rsidRDefault="00232248" w:rsidP="00864FFC">
      <w:pPr>
        <w:jc w:val="center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Nikšić, februar 202</w:t>
      </w:r>
      <w:r w:rsidR="00BE5BAB">
        <w:rPr>
          <w:rFonts w:ascii="Arial" w:hAnsi="Arial" w:cs="Arial"/>
          <w:sz w:val="24"/>
          <w:szCs w:val="24"/>
        </w:rPr>
        <w:t>4</w:t>
      </w:r>
      <w:r w:rsidRPr="0023224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32248">
        <w:rPr>
          <w:rFonts w:ascii="Arial" w:hAnsi="Arial" w:cs="Arial"/>
          <w:sz w:val="24"/>
          <w:szCs w:val="24"/>
        </w:rPr>
        <w:t>godine</w:t>
      </w:r>
      <w:proofErr w:type="gramEnd"/>
    </w:p>
    <w:p w:rsidR="00583DFA" w:rsidRPr="00583DFA" w:rsidRDefault="00583DFA" w:rsidP="00583DFA">
      <w:pPr>
        <w:jc w:val="both"/>
        <w:rPr>
          <w:rFonts w:ascii="Arial" w:hAnsi="Arial" w:cs="Arial"/>
          <w:sz w:val="24"/>
          <w:szCs w:val="24"/>
        </w:rPr>
      </w:pP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 xml:space="preserve">Na osnovu člana 33 stav 1 alineja 12 Statuta JU Dnevni centar za djecu </w:t>
      </w:r>
      <w:proofErr w:type="gramStart"/>
      <w:r w:rsidRPr="00232248">
        <w:rPr>
          <w:rFonts w:ascii="Arial" w:hAnsi="Arial" w:cs="Arial"/>
          <w:sz w:val="24"/>
          <w:szCs w:val="24"/>
        </w:rPr>
        <w:t>sa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 smetnjama u razvoju i osobe sa invaliditetom Nikšić, na koji je Skupština opštine Nikšić dala saglasnost rješenjem broj: 01-030-188 od 21.07.2017. </w:t>
      </w:r>
      <w:proofErr w:type="gramStart"/>
      <w:r w:rsidRPr="00232248">
        <w:rPr>
          <w:rFonts w:ascii="Arial" w:hAnsi="Arial" w:cs="Arial"/>
          <w:sz w:val="24"/>
          <w:szCs w:val="24"/>
        </w:rPr>
        <w:t>god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32248">
        <w:rPr>
          <w:rFonts w:ascii="Arial" w:hAnsi="Arial" w:cs="Arial"/>
          <w:sz w:val="24"/>
          <w:szCs w:val="24"/>
        </w:rPr>
        <w:t>i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 odlukom broj: 01-030-360 od 20.12.2017. </w:t>
      </w:r>
      <w:proofErr w:type="gramStart"/>
      <w:r w:rsidRPr="00232248">
        <w:rPr>
          <w:rFonts w:ascii="Arial" w:hAnsi="Arial" w:cs="Arial"/>
          <w:sz w:val="24"/>
          <w:szCs w:val="24"/>
        </w:rPr>
        <w:t>god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, direktor JU Dnevni centar za djecu sa smetnjama u razvoju i osobe sa invaliditetom Nikšić, dana, </w:t>
      </w:r>
      <w:r w:rsidR="00BE5BAB">
        <w:rPr>
          <w:rFonts w:ascii="Arial" w:hAnsi="Arial" w:cs="Arial"/>
          <w:sz w:val="24"/>
          <w:szCs w:val="24"/>
        </w:rPr>
        <w:t>0</w:t>
      </w:r>
      <w:r w:rsidR="00627C72">
        <w:rPr>
          <w:rFonts w:ascii="Arial" w:hAnsi="Arial" w:cs="Arial"/>
          <w:sz w:val="24"/>
          <w:szCs w:val="24"/>
        </w:rPr>
        <w:t>5</w:t>
      </w:r>
      <w:r w:rsidRPr="00232248">
        <w:rPr>
          <w:rFonts w:ascii="Arial" w:hAnsi="Arial" w:cs="Arial"/>
          <w:sz w:val="24"/>
          <w:szCs w:val="24"/>
        </w:rPr>
        <w:t>.0</w:t>
      </w:r>
      <w:r w:rsidR="00BE5BAB">
        <w:rPr>
          <w:rFonts w:ascii="Arial" w:hAnsi="Arial" w:cs="Arial"/>
          <w:sz w:val="24"/>
          <w:szCs w:val="24"/>
        </w:rPr>
        <w:t>3</w:t>
      </w:r>
      <w:r w:rsidRPr="00232248">
        <w:rPr>
          <w:rFonts w:ascii="Arial" w:hAnsi="Arial" w:cs="Arial"/>
          <w:sz w:val="24"/>
          <w:szCs w:val="24"/>
        </w:rPr>
        <w:t>.202</w:t>
      </w:r>
      <w:r w:rsidR="00627C72">
        <w:rPr>
          <w:rFonts w:ascii="Arial" w:hAnsi="Arial" w:cs="Arial"/>
          <w:sz w:val="24"/>
          <w:szCs w:val="24"/>
        </w:rPr>
        <w:t>4</w:t>
      </w:r>
      <w:r w:rsidRPr="0023224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32248">
        <w:rPr>
          <w:rFonts w:ascii="Arial" w:hAnsi="Arial" w:cs="Arial"/>
          <w:sz w:val="24"/>
          <w:szCs w:val="24"/>
        </w:rPr>
        <w:t>godine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,  Upravnom odboru  podnosi  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 xml:space="preserve">IZVJEŠTAJ O </w:t>
      </w:r>
      <w:proofErr w:type="gramStart"/>
      <w:r w:rsidRPr="00232248">
        <w:rPr>
          <w:rFonts w:ascii="Arial" w:hAnsi="Arial" w:cs="Arial"/>
          <w:sz w:val="24"/>
          <w:szCs w:val="24"/>
        </w:rPr>
        <w:t>RADU  ZA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  202</w:t>
      </w:r>
      <w:r w:rsidR="00BE5BAB">
        <w:rPr>
          <w:rFonts w:ascii="Arial" w:hAnsi="Arial" w:cs="Arial"/>
          <w:sz w:val="24"/>
          <w:szCs w:val="24"/>
        </w:rPr>
        <w:t>3</w:t>
      </w:r>
      <w:r w:rsidRPr="00232248">
        <w:rPr>
          <w:rFonts w:ascii="Arial" w:hAnsi="Arial" w:cs="Arial"/>
          <w:sz w:val="24"/>
          <w:szCs w:val="24"/>
        </w:rPr>
        <w:t>. GODINU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UVOD</w:t>
      </w:r>
    </w:p>
    <w:p w:rsidR="00232248" w:rsidRPr="00232248" w:rsidRDefault="00BE5BAB" w:rsidP="005B236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32248" w:rsidRPr="00232248">
        <w:rPr>
          <w:rFonts w:ascii="Arial" w:hAnsi="Arial" w:cs="Arial"/>
          <w:sz w:val="24"/>
          <w:szCs w:val="24"/>
        </w:rPr>
        <w:t>nevn</w:t>
      </w:r>
      <w:r>
        <w:rPr>
          <w:rFonts w:ascii="Arial" w:hAnsi="Arial" w:cs="Arial"/>
          <w:sz w:val="24"/>
          <w:szCs w:val="24"/>
        </w:rPr>
        <w:t>i</w:t>
      </w:r>
      <w:r w:rsidR="00232248" w:rsidRPr="00232248">
        <w:rPr>
          <w:rFonts w:ascii="Arial" w:hAnsi="Arial" w:cs="Arial"/>
          <w:sz w:val="24"/>
          <w:szCs w:val="24"/>
        </w:rPr>
        <w:t xml:space="preserve"> </w:t>
      </w:r>
      <w:r w:rsidR="004D6511">
        <w:rPr>
          <w:rFonts w:ascii="Arial" w:hAnsi="Arial" w:cs="Arial"/>
          <w:sz w:val="24"/>
          <w:szCs w:val="24"/>
        </w:rPr>
        <w:t>centar</w:t>
      </w:r>
      <w:r w:rsidR="00232248" w:rsidRPr="00232248">
        <w:rPr>
          <w:rFonts w:ascii="Arial" w:hAnsi="Arial" w:cs="Arial"/>
          <w:sz w:val="24"/>
          <w:szCs w:val="24"/>
        </w:rPr>
        <w:t xml:space="preserve"> za djecu </w:t>
      </w:r>
      <w:proofErr w:type="gramStart"/>
      <w:r w:rsidR="00232248" w:rsidRPr="00232248">
        <w:rPr>
          <w:rFonts w:ascii="Arial" w:hAnsi="Arial" w:cs="Arial"/>
          <w:sz w:val="24"/>
          <w:szCs w:val="24"/>
        </w:rPr>
        <w:t>sa</w:t>
      </w:r>
      <w:proofErr w:type="gramEnd"/>
      <w:r w:rsidR="00232248" w:rsidRPr="00232248">
        <w:rPr>
          <w:rFonts w:ascii="Arial" w:hAnsi="Arial" w:cs="Arial"/>
          <w:sz w:val="24"/>
          <w:szCs w:val="24"/>
        </w:rPr>
        <w:t xml:space="preserve"> smetnjama u razvoju i osobe sa invaliditetom </w:t>
      </w:r>
      <w:r w:rsidR="004D6511">
        <w:rPr>
          <w:rFonts w:ascii="Arial" w:hAnsi="Arial" w:cs="Arial"/>
          <w:sz w:val="24"/>
          <w:szCs w:val="24"/>
        </w:rPr>
        <w:t xml:space="preserve">Nikšić počeo je sa radom 2010. </w:t>
      </w:r>
      <w:proofErr w:type="gramStart"/>
      <w:r w:rsidR="004D6511">
        <w:rPr>
          <w:rFonts w:ascii="Arial" w:hAnsi="Arial" w:cs="Arial"/>
          <w:sz w:val="24"/>
          <w:szCs w:val="24"/>
        </w:rPr>
        <w:t>godine</w:t>
      </w:r>
      <w:proofErr w:type="gramEnd"/>
      <w:r w:rsidR="004D6511">
        <w:rPr>
          <w:rFonts w:ascii="Arial" w:hAnsi="Arial" w:cs="Arial"/>
          <w:sz w:val="24"/>
          <w:szCs w:val="24"/>
        </w:rPr>
        <w:t>.</w:t>
      </w:r>
      <w:r w:rsidR="00232248" w:rsidRPr="00232248">
        <w:rPr>
          <w:rFonts w:ascii="Arial" w:hAnsi="Arial" w:cs="Arial"/>
          <w:sz w:val="24"/>
          <w:szCs w:val="24"/>
        </w:rPr>
        <w:t xml:space="preserve"> </w:t>
      </w:r>
      <w:r w:rsidR="004D6511">
        <w:rPr>
          <w:rFonts w:ascii="Arial" w:hAnsi="Arial" w:cs="Arial"/>
          <w:sz w:val="24"/>
          <w:szCs w:val="24"/>
        </w:rPr>
        <w:t xml:space="preserve">U skladu </w:t>
      </w:r>
      <w:proofErr w:type="gramStart"/>
      <w:r w:rsidR="004D6511">
        <w:rPr>
          <w:rFonts w:ascii="Arial" w:hAnsi="Arial" w:cs="Arial"/>
          <w:sz w:val="24"/>
          <w:szCs w:val="24"/>
        </w:rPr>
        <w:t>sa</w:t>
      </w:r>
      <w:proofErr w:type="gramEnd"/>
      <w:r w:rsidR="004D6511">
        <w:rPr>
          <w:rFonts w:ascii="Arial" w:hAnsi="Arial" w:cs="Arial"/>
          <w:sz w:val="24"/>
          <w:szCs w:val="24"/>
        </w:rPr>
        <w:t xml:space="preserve"> Statutom, osnovne aktivnosti ustanove su usmjerene na: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 xml:space="preserve">1. Obezbjeđivanje dnevnog boravka djece </w:t>
      </w:r>
      <w:proofErr w:type="gramStart"/>
      <w:r w:rsidRPr="00232248">
        <w:rPr>
          <w:rFonts w:ascii="Arial" w:hAnsi="Arial" w:cs="Arial"/>
          <w:sz w:val="24"/>
          <w:szCs w:val="24"/>
        </w:rPr>
        <w:t>sa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 smetnjama u razvoju i osoba sa invaliditetom;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2. Pružanje osmočasovne podrške;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3. Socijalizacij</w:t>
      </w:r>
      <w:r w:rsidR="004D6511">
        <w:rPr>
          <w:rFonts w:ascii="Arial" w:hAnsi="Arial" w:cs="Arial"/>
          <w:sz w:val="24"/>
          <w:szCs w:val="24"/>
        </w:rPr>
        <w:t>u</w:t>
      </w:r>
      <w:r w:rsidRPr="00232248">
        <w:rPr>
          <w:rFonts w:ascii="Arial" w:hAnsi="Arial" w:cs="Arial"/>
          <w:sz w:val="24"/>
          <w:szCs w:val="24"/>
        </w:rPr>
        <w:t>;</w:t>
      </w:r>
    </w:p>
    <w:p w:rsidR="00232248" w:rsidRPr="00232248" w:rsidRDefault="004D6511" w:rsidP="002322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Rehabilitaciju</w:t>
      </w:r>
      <w:r w:rsidR="00232248" w:rsidRPr="00232248">
        <w:rPr>
          <w:rFonts w:ascii="Arial" w:hAnsi="Arial" w:cs="Arial"/>
          <w:sz w:val="24"/>
          <w:szCs w:val="24"/>
        </w:rPr>
        <w:t xml:space="preserve"> - elementarni fizikalni tretman;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5. Društven</w:t>
      </w:r>
      <w:r w:rsidR="004D6511">
        <w:rPr>
          <w:rFonts w:ascii="Arial" w:hAnsi="Arial" w:cs="Arial"/>
          <w:sz w:val="24"/>
          <w:szCs w:val="24"/>
        </w:rPr>
        <w:t>u</w:t>
      </w:r>
      <w:r w:rsidRPr="00232248">
        <w:rPr>
          <w:rFonts w:ascii="Arial" w:hAnsi="Arial" w:cs="Arial"/>
          <w:sz w:val="24"/>
          <w:szCs w:val="24"/>
        </w:rPr>
        <w:t xml:space="preserve"> i profesionaln</w:t>
      </w:r>
      <w:r w:rsidR="004D6511">
        <w:rPr>
          <w:rFonts w:ascii="Arial" w:hAnsi="Arial" w:cs="Arial"/>
          <w:sz w:val="24"/>
          <w:szCs w:val="24"/>
        </w:rPr>
        <w:t>u</w:t>
      </w:r>
      <w:r w:rsidRPr="00232248">
        <w:rPr>
          <w:rFonts w:ascii="Arial" w:hAnsi="Arial" w:cs="Arial"/>
          <w:sz w:val="24"/>
          <w:szCs w:val="24"/>
        </w:rPr>
        <w:t xml:space="preserve"> aktivacij</w:t>
      </w:r>
      <w:r w:rsidR="004D6511">
        <w:rPr>
          <w:rFonts w:ascii="Arial" w:hAnsi="Arial" w:cs="Arial"/>
          <w:sz w:val="24"/>
          <w:szCs w:val="24"/>
        </w:rPr>
        <w:t>u</w:t>
      </w:r>
      <w:r w:rsidRPr="00232248">
        <w:rPr>
          <w:rFonts w:ascii="Arial" w:hAnsi="Arial" w:cs="Arial"/>
          <w:sz w:val="24"/>
          <w:szCs w:val="24"/>
        </w:rPr>
        <w:t xml:space="preserve"> djece </w:t>
      </w:r>
      <w:proofErr w:type="gramStart"/>
      <w:r w:rsidRPr="00232248">
        <w:rPr>
          <w:rFonts w:ascii="Arial" w:hAnsi="Arial" w:cs="Arial"/>
          <w:sz w:val="24"/>
          <w:szCs w:val="24"/>
        </w:rPr>
        <w:t>sa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 smetnjama u razvoju i osoba sa invaliditetom;</w:t>
      </w:r>
    </w:p>
    <w:p w:rsidR="00232248" w:rsidRPr="00232248" w:rsidRDefault="004D6511" w:rsidP="002322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Podršku</w:t>
      </w:r>
      <w:r w:rsidR="00B90055">
        <w:rPr>
          <w:rFonts w:ascii="Arial" w:hAnsi="Arial" w:cs="Arial"/>
          <w:sz w:val="24"/>
          <w:szCs w:val="24"/>
        </w:rPr>
        <w:t xml:space="preserve"> u učenju</w:t>
      </w:r>
      <w:r w:rsidR="00232248" w:rsidRPr="00232248">
        <w:rPr>
          <w:rFonts w:ascii="Arial" w:hAnsi="Arial" w:cs="Arial"/>
          <w:sz w:val="24"/>
          <w:szCs w:val="24"/>
        </w:rPr>
        <w:t>;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7. Razvoj komunikacionih i drugih vještina potrebnih za svakodnevni život u zajednici;</w:t>
      </w:r>
    </w:p>
    <w:p w:rsidR="00232248" w:rsidRPr="00232248" w:rsidRDefault="004D6511" w:rsidP="002322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Edukaciju</w:t>
      </w:r>
      <w:r w:rsidR="00232248" w:rsidRPr="00232248">
        <w:rPr>
          <w:rFonts w:ascii="Arial" w:hAnsi="Arial" w:cs="Arial"/>
          <w:sz w:val="24"/>
          <w:szCs w:val="24"/>
        </w:rPr>
        <w:t xml:space="preserve"> roditelja</w:t>
      </w:r>
      <w:r>
        <w:rPr>
          <w:rFonts w:ascii="Arial" w:hAnsi="Arial" w:cs="Arial"/>
          <w:sz w:val="24"/>
          <w:szCs w:val="24"/>
        </w:rPr>
        <w:t>/ staratelja</w:t>
      </w:r>
      <w:r w:rsidR="00232248" w:rsidRPr="00232248">
        <w:rPr>
          <w:rFonts w:ascii="Arial" w:hAnsi="Arial" w:cs="Arial"/>
          <w:sz w:val="24"/>
          <w:szCs w:val="24"/>
        </w:rPr>
        <w:t xml:space="preserve"> za samopomoć i podršku djeci </w:t>
      </w:r>
      <w:proofErr w:type="gramStart"/>
      <w:r w:rsidR="00232248" w:rsidRPr="00232248">
        <w:rPr>
          <w:rFonts w:ascii="Arial" w:hAnsi="Arial" w:cs="Arial"/>
          <w:sz w:val="24"/>
          <w:szCs w:val="24"/>
        </w:rPr>
        <w:t>sa</w:t>
      </w:r>
      <w:proofErr w:type="gramEnd"/>
      <w:r w:rsidR="00232248" w:rsidRPr="00232248">
        <w:rPr>
          <w:rFonts w:ascii="Arial" w:hAnsi="Arial" w:cs="Arial"/>
          <w:sz w:val="24"/>
          <w:szCs w:val="24"/>
        </w:rPr>
        <w:t xml:space="preserve"> smetnjama u razvoju i osobama sa invaliditetom;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9. Razvoj vještina samozaštite i pomoći;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10. Relaksacij</w:t>
      </w:r>
      <w:r w:rsidR="004D6511">
        <w:rPr>
          <w:rFonts w:ascii="Arial" w:hAnsi="Arial" w:cs="Arial"/>
          <w:sz w:val="24"/>
          <w:szCs w:val="24"/>
        </w:rPr>
        <w:t>u</w:t>
      </w:r>
      <w:r w:rsidRPr="00232248">
        <w:rPr>
          <w:rFonts w:ascii="Arial" w:hAnsi="Arial" w:cs="Arial"/>
          <w:sz w:val="24"/>
          <w:szCs w:val="24"/>
        </w:rPr>
        <w:t xml:space="preserve"> i rekreacij</w:t>
      </w:r>
      <w:r w:rsidR="004D6511">
        <w:rPr>
          <w:rFonts w:ascii="Arial" w:hAnsi="Arial" w:cs="Arial"/>
          <w:sz w:val="24"/>
          <w:szCs w:val="24"/>
        </w:rPr>
        <w:t xml:space="preserve">u (radna </w:t>
      </w:r>
      <w:r w:rsidRPr="00232248">
        <w:rPr>
          <w:rFonts w:ascii="Arial" w:hAnsi="Arial" w:cs="Arial"/>
          <w:sz w:val="24"/>
          <w:szCs w:val="24"/>
        </w:rPr>
        <w:t>okupaci</w:t>
      </w:r>
      <w:r w:rsidR="004D6511">
        <w:rPr>
          <w:rFonts w:ascii="Arial" w:hAnsi="Arial" w:cs="Arial"/>
          <w:sz w:val="24"/>
          <w:szCs w:val="24"/>
        </w:rPr>
        <w:t>ja</w:t>
      </w:r>
      <w:r w:rsidRPr="00232248">
        <w:rPr>
          <w:rFonts w:ascii="Arial" w:hAnsi="Arial" w:cs="Arial"/>
          <w:sz w:val="24"/>
          <w:szCs w:val="24"/>
        </w:rPr>
        <w:t xml:space="preserve"> i okupacija sportom);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11. Najmanje jedan obrok dnevno;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 xml:space="preserve">12. Prevoz za djecu </w:t>
      </w:r>
      <w:proofErr w:type="gramStart"/>
      <w:r w:rsidRPr="00232248">
        <w:rPr>
          <w:rFonts w:ascii="Arial" w:hAnsi="Arial" w:cs="Arial"/>
          <w:sz w:val="24"/>
          <w:szCs w:val="24"/>
        </w:rPr>
        <w:t>sa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 smetnjama u razvoju;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 xml:space="preserve">13. Prevoz za osobe </w:t>
      </w:r>
      <w:proofErr w:type="gramStart"/>
      <w:r w:rsidRPr="00232248">
        <w:rPr>
          <w:rFonts w:ascii="Arial" w:hAnsi="Arial" w:cs="Arial"/>
          <w:sz w:val="24"/>
          <w:szCs w:val="24"/>
        </w:rPr>
        <w:t>sa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 invaliditetom shodno mogućnostima.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</w:p>
    <w:p w:rsidR="00232248" w:rsidRPr="00232248" w:rsidRDefault="00232248" w:rsidP="005B236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 xml:space="preserve">Aktivnosti u Dnevnom centru su usmjerene </w:t>
      </w:r>
      <w:proofErr w:type="gramStart"/>
      <w:r w:rsidRPr="00232248">
        <w:rPr>
          <w:rFonts w:ascii="Arial" w:hAnsi="Arial" w:cs="Arial"/>
          <w:sz w:val="24"/>
          <w:szCs w:val="24"/>
        </w:rPr>
        <w:t>na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 razvoj praktičnih vještina za svakodnevni život, koje u najvećoj mjeri omogućavaju samostalnost, razvoj i održavanje socijalnih, kognitivnih i fizičkih funkcija za korisnike. Stalno podizanje kvaliteta usluga temeljni je princip rada Dnevnog centra. 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lastRenderedPageBreak/>
        <w:t xml:space="preserve">Boravak u Dnevnom centru odobrava Centar za socijalni rad za opštine Nikšić, Šavnik i Plužine. U Dnevnom centru, zaključno </w:t>
      </w:r>
      <w:proofErr w:type="gramStart"/>
      <w:r w:rsidRPr="00232248">
        <w:rPr>
          <w:rFonts w:ascii="Arial" w:hAnsi="Arial" w:cs="Arial"/>
          <w:sz w:val="24"/>
          <w:szCs w:val="24"/>
        </w:rPr>
        <w:t>sa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 31.12.202</w:t>
      </w:r>
      <w:r w:rsidR="004D6511">
        <w:rPr>
          <w:rFonts w:ascii="Arial" w:hAnsi="Arial" w:cs="Arial"/>
          <w:sz w:val="24"/>
          <w:szCs w:val="24"/>
        </w:rPr>
        <w:t>3</w:t>
      </w:r>
      <w:r w:rsidRPr="0023224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32248">
        <w:rPr>
          <w:rFonts w:ascii="Arial" w:hAnsi="Arial" w:cs="Arial"/>
          <w:sz w:val="24"/>
          <w:szCs w:val="24"/>
        </w:rPr>
        <w:t>godine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, korisničko pravo ima </w:t>
      </w:r>
      <w:r w:rsidR="00B90055">
        <w:rPr>
          <w:rFonts w:ascii="Arial" w:hAnsi="Arial" w:cs="Arial"/>
          <w:sz w:val="24"/>
          <w:szCs w:val="24"/>
        </w:rPr>
        <w:t>5</w:t>
      </w:r>
      <w:r w:rsidR="004D6511">
        <w:rPr>
          <w:rFonts w:ascii="Arial" w:hAnsi="Arial" w:cs="Arial"/>
          <w:sz w:val="24"/>
          <w:szCs w:val="24"/>
        </w:rPr>
        <w:t>0</w:t>
      </w:r>
      <w:r w:rsidRPr="00232248">
        <w:rPr>
          <w:rFonts w:ascii="Arial" w:hAnsi="Arial" w:cs="Arial"/>
          <w:sz w:val="24"/>
          <w:szCs w:val="24"/>
        </w:rPr>
        <w:t xml:space="preserve"> korisnik</w:t>
      </w:r>
      <w:r w:rsidR="004D6511">
        <w:rPr>
          <w:rFonts w:ascii="Arial" w:hAnsi="Arial" w:cs="Arial"/>
          <w:sz w:val="24"/>
          <w:szCs w:val="24"/>
        </w:rPr>
        <w:t>a</w:t>
      </w:r>
      <w:r w:rsidRPr="00232248">
        <w:rPr>
          <w:rFonts w:ascii="Arial" w:hAnsi="Arial" w:cs="Arial"/>
          <w:sz w:val="24"/>
          <w:szCs w:val="24"/>
        </w:rPr>
        <w:t>.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627C72">
        <w:rPr>
          <w:rFonts w:ascii="Arial" w:hAnsi="Arial" w:cs="Arial"/>
          <w:sz w:val="24"/>
          <w:szCs w:val="24"/>
        </w:rPr>
        <w:t>RAD ORGANA DNEVNOG CENTRA U 202</w:t>
      </w:r>
      <w:r w:rsidR="004D6511" w:rsidRPr="00627C72">
        <w:rPr>
          <w:rFonts w:ascii="Arial" w:hAnsi="Arial" w:cs="Arial"/>
          <w:sz w:val="24"/>
          <w:szCs w:val="24"/>
        </w:rPr>
        <w:t>3</w:t>
      </w:r>
      <w:r w:rsidRPr="00627C72">
        <w:rPr>
          <w:rFonts w:ascii="Arial" w:hAnsi="Arial" w:cs="Arial"/>
          <w:sz w:val="24"/>
          <w:szCs w:val="24"/>
        </w:rPr>
        <w:t>. GODINI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Organi Dnevnog centra su Upravni odbor i direktor.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Upravni odbor</w:t>
      </w:r>
    </w:p>
    <w:p w:rsidR="000674F1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U 202</w:t>
      </w:r>
      <w:r w:rsidR="004D6511">
        <w:rPr>
          <w:rFonts w:ascii="Arial" w:hAnsi="Arial" w:cs="Arial"/>
          <w:sz w:val="24"/>
          <w:szCs w:val="24"/>
        </w:rPr>
        <w:t>3</w:t>
      </w:r>
      <w:r w:rsidRPr="0023224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32248">
        <w:rPr>
          <w:rFonts w:ascii="Arial" w:hAnsi="Arial" w:cs="Arial"/>
          <w:sz w:val="24"/>
          <w:szCs w:val="24"/>
        </w:rPr>
        <w:t>godini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 Upravn</w:t>
      </w:r>
      <w:r w:rsidR="00B90055">
        <w:rPr>
          <w:rFonts w:ascii="Arial" w:hAnsi="Arial" w:cs="Arial"/>
          <w:sz w:val="24"/>
          <w:szCs w:val="24"/>
        </w:rPr>
        <w:t>i</w:t>
      </w:r>
      <w:r w:rsidRPr="00232248">
        <w:rPr>
          <w:rFonts w:ascii="Arial" w:hAnsi="Arial" w:cs="Arial"/>
          <w:sz w:val="24"/>
          <w:szCs w:val="24"/>
        </w:rPr>
        <w:t xml:space="preserve"> odbor Dnevnog centra</w:t>
      </w:r>
      <w:r w:rsidR="000674F1">
        <w:rPr>
          <w:rFonts w:ascii="Arial" w:hAnsi="Arial" w:cs="Arial"/>
          <w:sz w:val="24"/>
          <w:szCs w:val="24"/>
        </w:rPr>
        <w:t xml:space="preserve"> </w:t>
      </w:r>
      <w:r w:rsidR="00B90055">
        <w:rPr>
          <w:rFonts w:ascii="Arial" w:hAnsi="Arial" w:cs="Arial"/>
          <w:sz w:val="24"/>
          <w:szCs w:val="24"/>
        </w:rPr>
        <w:t>je radio u sledećem sastavu:</w:t>
      </w:r>
      <w:r w:rsidRPr="00232248">
        <w:rPr>
          <w:rFonts w:ascii="Arial" w:hAnsi="Arial" w:cs="Arial"/>
          <w:sz w:val="24"/>
          <w:szCs w:val="24"/>
        </w:rPr>
        <w:t xml:space="preserve"> 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1. Kristina Vasiljević, predsjednica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2. Marija Nenezić, član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 xml:space="preserve">3. </w:t>
      </w:r>
      <w:r w:rsidR="000674F1">
        <w:rPr>
          <w:rFonts w:ascii="Arial" w:hAnsi="Arial" w:cs="Arial"/>
          <w:sz w:val="24"/>
          <w:szCs w:val="24"/>
        </w:rPr>
        <w:t>Aleksandar Guzina</w:t>
      </w:r>
      <w:r w:rsidRPr="00232248">
        <w:rPr>
          <w:rFonts w:ascii="Arial" w:hAnsi="Arial" w:cs="Arial"/>
          <w:sz w:val="24"/>
          <w:szCs w:val="24"/>
        </w:rPr>
        <w:t>, član</w:t>
      </w:r>
    </w:p>
    <w:p w:rsidR="007D6D72" w:rsidRDefault="007D6D72" w:rsidP="00232248">
      <w:pPr>
        <w:jc w:val="both"/>
        <w:rPr>
          <w:rFonts w:ascii="Arial" w:hAnsi="Arial" w:cs="Arial"/>
          <w:sz w:val="24"/>
          <w:szCs w:val="24"/>
        </w:rPr>
      </w:pP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Sjednice Upravnog odbora</w:t>
      </w:r>
    </w:p>
    <w:p w:rsidR="007D6D72" w:rsidRDefault="007D6D72" w:rsidP="00232248">
      <w:pPr>
        <w:jc w:val="both"/>
        <w:rPr>
          <w:rFonts w:ascii="Arial" w:hAnsi="Arial" w:cs="Arial"/>
          <w:sz w:val="24"/>
          <w:szCs w:val="24"/>
        </w:rPr>
      </w:pP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Upravni odbor je u 202</w:t>
      </w:r>
      <w:r w:rsidR="004D6511">
        <w:rPr>
          <w:rFonts w:ascii="Arial" w:hAnsi="Arial" w:cs="Arial"/>
          <w:sz w:val="24"/>
          <w:szCs w:val="24"/>
        </w:rPr>
        <w:t>3</w:t>
      </w:r>
      <w:r w:rsidRPr="0023224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32248">
        <w:rPr>
          <w:rFonts w:ascii="Arial" w:hAnsi="Arial" w:cs="Arial"/>
          <w:sz w:val="24"/>
          <w:szCs w:val="24"/>
        </w:rPr>
        <w:t>godini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, u okviru svojih nadležnosti, održao </w:t>
      </w:r>
      <w:r w:rsidR="000674F1">
        <w:rPr>
          <w:rFonts w:ascii="Arial" w:hAnsi="Arial" w:cs="Arial"/>
          <w:sz w:val="24"/>
          <w:szCs w:val="24"/>
        </w:rPr>
        <w:t>tri</w:t>
      </w:r>
      <w:r w:rsidRPr="00232248">
        <w:rPr>
          <w:rFonts w:ascii="Arial" w:hAnsi="Arial" w:cs="Arial"/>
          <w:sz w:val="24"/>
          <w:szCs w:val="24"/>
        </w:rPr>
        <w:t xml:space="preserve"> sjednic</w:t>
      </w:r>
      <w:r w:rsidR="000674F1">
        <w:rPr>
          <w:rFonts w:ascii="Arial" w:hAnsi="Arial" w:cs="Arial"/>
          <w:sz w:val="24"/>
          <w:szCs w:val="24"/>
        </w:rPr>
        <w:t>e</w:t>
      </w:r>
      <w:r w:rsidRPr="00232248">
        <w:rPr>
          <w:rFonts w:ascii="Arial" w:hAnsi="Arial" w:cs="Arial"/>
          <w:sz w:val="24"/>
          <w:szCs w:val="24"/>
        </w:rPr>
        <w:t>: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 xml:space="preserve">1. Na sjednici održanoj </w:t>
      </w:r>
      <w:r w:rsidR="000674F1">
        <w:rPr>
          <w:rFonts w:ascii="Arial" w:hAnsi="Arial" w:cs="Arial"/>
          <w:sz w:val="24"/>
          <w:szCs w:val="24"/>
        </w:rPr>
        <w:t>2</w:t>
      </w:r>
      <w:r w:rsidR="00C938D8">
        <w:rPr>
          <w:rFonts w:ascii="Arial" w:hAnsi="Arial" w:cs="Arial"/>
          <w:sz w:val="24"/>
          <w:szCs w:val="24"/>
        </w:rPr>
        <w:t>8</w:t>
      </w:r>
      <w:r w:rsidRPr="00232248">
        <w:rPr>
          <w:rFonts w:ascii="Arial" w:hAnsi="Arial" w:cs="Arial"/>
          <w:sz w:val="24"/>
          <w:szCs w:val="24"/>
        </w:rPr>
        <w:t>.0</w:t>
      </w:r>
      <w:r w:rsidR="000674F1">
        <w:rPr>
          <w:rFonts w:ascii="Arial" w:hAnsi="Arial" w:cs="Arial"/>
          <w:sz w:val="24"/>
          <w:szCs w:val="24"/>
        </w:rPr>
        <w:t>2</w:t>
      </w:r>
      <w:r w:rsidRPr="00232248">
        <w:rPr>
          <w:rFonts w:ascii="Arial" w:hAnsi="Arial" w:cs="Arial"/>
          <w:sz w:val="24"/>
          <w:szCs w:val="24"/>
        </w:rPr>
        <w:t>.202</w:t>
      </w:r>
      <w:r w:rsidR="00C938D8">
        <w:rPr>
          <w:rFonts w:ascii="Arial" w:hAnsi="Arial" w:cs="Arial"/>
          <w:sz w:val="24"/>
          <w:szCs w:val="24"/>
        </w:rPr>
        <w:t>3</w:t>
      </w:r>
      <w:r w:rsidRPr="0023224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32248">
        <w:rPr>
          <w:rFonts w:ascii="Arial" w:hAnsi="Arial" w:cs="Arial"/>
          <w:sz w:val="24"/>
          <w:szCs w:val="24"/>
        </w:rPr>
        <w:t>godine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 donio je: 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 xml:space="preserve">- Odluku o usvajanju Izvještaja o radu i finansijskom poslovanju JU Dnevni centar za djecu sa smetnjama u razvoju i osobe sa invaliditetom Nikšić </w:t>
      </w:r>
      <w:proofErr w:type="gramStart"/>
      <w:r w:rsidRPr="00232248">
        <w:rPr>
          <w:rFonts w:ascii="Arial" w:hAnsi="Arial" w:cs="Arial"/>
          <w:sz w:val="24"/>
          <w:szCs w:val="24"/>
        </w:rPr>
        <w:t>za  202</w:t>
      </w:r>
      <w:r w:rsidR="00C938D8">
        <w:rPr>
          <w:rFonts w:ascii="Arial" w:hAnsi="Arial" w:cs="Arial"/>
          <w:sz w:val="24"/>
          <w:szCs w:val="24"/>
        </w:rPr>
        <w:t>2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32248">
        <w:rPr>
          <w:rFonts w:ascii="Arial" w:hAnsi="Arial" w:cs="Arial"/>
          <w:sz w:val="24"/>
          <w:szCs w:val="24"/>
        </w:rPr>
        <w:t>godinu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 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 xml:space="preserve">- </w:t>
      </w:r>
      <w:r w:rsidR="00C938D8">
        <w:rPr>
          <w:rFonts w:ascii="Arial" w:hAnsi="Arial" w:cs="Arial"/>
          <w:sz w:val="24"/>
          <w:szCs w:val="24"/>
        </w:rPr>
        <w:t xml:space="preserve">Odluku o izmjeni odluke o utvrđivanju koeficijenata za zadrade zaposlenih u JU Dnevni centar za djecu </w:t>
      </w:r>
      <w:proofErr w:type="gramStart"/>
      <w:r w:rsidR="00C938D8">
        <w:rPr>
          <w:rFonts w:ascii="Arial" w:hAnsi="Arial" w:cs="Arial"/>
          <w:sz w:val="24"/>
          <w:szCs w:val="24"/>
        </w:rPr>
        <w:t>sa</w:t>
      </w:r>
      <w:proofErr w:type="gramEnd"/>
      <w:r w:rsidR="00C938D8">
        <w:rPr>
          <w:rFonts w:ascii="Arial" w:hAnsi="Arial" w:cs="Arial"/>
          <w:sz w:val="24"/>
          <w:szCs w:val="24"/>
        </w:rPr>
        <w:t xml:space="preserve"> smetnjama u razvoju i osobe sa invaliditetom Nikšić</w:t>
      </w:r>
      <w:r w:rsidRPr="00232248">
        <w:rPr>
          <w:rFonts w:ascii="Arial" w:hAnsi="Arial" w:cs="Arial"/>
          <w:sz w:val="24"/>
          <w:szCs w:val="24"/>
        </w:rPr>
        <w:t>.</w:t>
      </w:r>
    </w:p>
    <w:p w:rsidR="000674F1" w:rsidRPr="00232248" w:rsidRDefault="00232248" w:rsidP="00C938D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 xml:space="preserve">2.  </w:t>
      </w:r>
      <w:r w:rsidR="000674F1" w:rsidRPr="00232248">
        <w:rPr>
          <w:rFonts w:ascii="Arial" w:hAnsi="Arial" w:cs="Arial"/>
          <w:sz w:val="24"/>
          <w:szCs w:val="24"/>
        </w:rPr>
        <w:t>Na sjednici 0</w:t>
      </w:r>
      <w:r w:rsidR="00C938D8">
        <w:rPr>
          <w:rFonts w:ascii="Arial" w:hAnsi="Arial" w:cs="Arial"/>
          <w:sz w:val="24"/>
          <w:szCs w:val="24"/>
        </w:rPr>
        <w:t>5</w:t>
      </w:r>
      <w:r w:rsidR="000674F1" w:rsidRPr="00232248">
        <w:rPr>
          <w:rFonts w:ascii="Arial" w:hAnsi="Arial" w:cs="Arial"/>
          <w:sz w:val="24"/>
          <w:szCs w:val="24"/>
        </w:rPr>
        <w:t>.12.202</w:t>
      </w:r>
      <w:r w:rsidR="00C938D8">
        <w:rPr>
          <w:rFonts w:ascii="Arial" w:hAnsi="Arial" w:cs="Arial"/>
          <w:sz w:val="24"/>
          <w:szCs w:val="24"/>
        </w:rPr>
        <w:t>3</w:t>
      </w:r>
      <w:r w:rsidR="000674F1" w:rsidRPr="0023224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674F1" w:rsidRPr="00232248">
        <w:rPr>
          <w:rFonts w:ascii="Arial" w:hAnsi="Arial" w:cs="Arial"/>
          <w:sz w:val="24"/>
          <w:szCs w:val="24"/>
        </w:rPr>
        <w:t>godine</w:t>
      </w:r>
      <w:proofErr w:type="gramEnd"/>
      <w:r w:rsidR="000674F1" w:rsidRPr="00232248">
        <w:rPr>
          <w:rFonts w:ascii="Arial" w:hAnsi="Arial" w:cs="Arial"/>
          <w:sz w:val="24"/>
          <w:szCs w:val="24"/>
        </w:rPr>
        <w:t>, donio je:</w:t>
      </w:r>
    </w:p>
    <w:p w:rsidR="000674F1" w:rsidRPr="00232248" w:rsidRDefault="000674F1" w:rsidP="000674F1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 xml:space="preserve">- Odluku o usvajanju Programa rada i finansijskog plana JU Dnevni centar za djecu </w:t>
      </w:r>
      <w:proofErr w:type="gramStart"/>
      <w:r w:rsidRPr="00232248">
        <w:rPr>
          <w:rFonts w:ascii="Arial" w:hAnsi="Arial" w:cs="Arial"/>
          <w:sz w:val="24"/>
          <w:szCs w:val="24"/>
        </w:rPr>
        <w:t>sa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 smetnjama u razvoju i osobe sa invaliditetom Nikšić za 202</w:t>
      </w:r>
      <w:r w:rsidR="00C938D8">
        <w:rPr>
          <w:rFonts w:ascii="Arial" w:hAnsi="Arial" w:cs="Arial"/>
          <w:sz w:val="24"/>
          <w:szCs w:val="24"/>
        </w:rPr>
        <w:t>4</w:t>
      </w:r>
      <w:r w:rsidRPr="0023224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32248">
        <w:rPr>
          <w:rFonts w:ascii="Arial" w:hAnsi="Arial" w:cs="Arial"/>
          <w:sz w:val="24"/>
          <w:szCs w:val="24"/>
        </w:rPr>
        <w:t>godinu</w:t>
      </w:r>
      <w:proofErr w:type="gramEnd"/>
    </w:p>
    <w:p w:rsidR="00C938D8" w:rsidRDefault="00C938D8" w:rsidP="00232248">
      <w:pPr>
        <w:jc w:val="both"/>
        <w:rPr>
          <w:rFonts w:ascii="Arial" w:hAnsi="Arial" w:cs="Arial"/>
          <w:sz w:val="24"/>
          <w:szCs w:val="24"/>
        </w:rPr>
      </w:pP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Direktor</w:t>
      </w:r>
    </w:p>
    <w:p w:rsidR="00232248" w:rsidRPr="00232248" w:rsidRDefault="00232248" w:rsidP="007C334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 xml:space="preserve">Direktor je, </w:t>
      </w:r>
      <w:r w:rsidR="009B0A2B">
        <w:rPr>
          <w:rFonts w:ascii="Arial" w:hAnsi="Arial" w:cs="Arial"/>
          <w:sz w:val="24"/>
          <w:szCs w:val="24"/>
        </w:rPr>
        <w:t xml:space="preserve">u </w:t>
      </w:r>
      <w:r w:rsidRPr="00232248">
        <w:rPr>
          <w:rFonts w:ascii="Arial" w:hAnsi="Arial" w:cs="Arial"/>
          <w:sz w:val="24"/>
          <w:szCs w:val="24"/>
        </w:rPr>
        <w:t xml:space="preserve">skladu sa </w:t>
      </w:r>
      <w:r w:rsidR="004D6511">
        <w:rPr>
          <w:rFonts w:ascii="Arial" w:hAnsi="Arial" w:cs="Arial"/>
          <w:sz w:val="24"/>
          <w:szCs w:val="24"/>
        </w:rPr>
        <w:t>statutarnim ovlašćenjima i obavezama</w:t>
      </w:r>
      <w:proofErr w:type="gramStart"/>
      <w:r w:rsidR="000674F1">
        <w:rPr>
          <w:rFonts w:ascii="Arial" w:hAnsi="Arial" w:cs="Arial"/>
          <w:sz w:val="24"/>
          <w:szCs w:val="24"/>
        </w:rPr>
        <w:t xml:space="preserve">, </w:t>
      </w:r>
      <w:r w:rsidRPr="00232248">
        <w:rPr>
          <w:rFonts w:ascii="Arial" w:hAnsi="Arial" w:cs="Arial"/>
          <w:sz w:val="24"/>
          <w:szCs w:val="24"/>
        </w:rPr>
        <w:t xml:space="preserve"> obavlja</w:t>
      </w:r>
      <w:r w:rsidR="000674F1">
        <w:rPr>
          <w:rFonts w:ascii="Arial" w:hAnsi="Arial" w:cs="Arial"/>
          <w:sz w:val="24"/>
          <w:szCs w:val="24"/>
        </w:rPr>
        <w:t>o</w:t>
      </w:r>
      <w:proofErr w:type="gramEnd"/>
      <w:r w:rsidRPr="00232248">
        <w:rPr>
          <w:rFonts w:ascii="Arial" w:hAnsi="Arial" w:cs="Arial"/>
          <w:sz w:val="24"/>
          <w:szCs w:val="24"/>
        </w:rPr>
        <w:t xml:space="preserve"> svoje dužnosti, zastupa</w:t>
      </w:r>
      <w:r w:rsidR="000674F1">
        <w:rPr>
          <w:rFonts w:ascii="Arial" w:hAnsi="Arial" w:cs="Arial"/>
          <w:sz w:val="24"/>
          <w:szCs w:val="24"/>
        </w:rPr>
        <w:t>o</w:t>
      </w:r>
      <w:r w:rsidRPr="00232248">
        <w:rPr>
          <w:rFonts w:ascii="Arial" w:hAnsi="Arial" w:cs="Arial"/>
          <w:sz w:val="24"/>
          <w:szCs w:val="24"/>
        </w:rPr>
        <w:t xml:space="preserve"> i predstavlja</w:t>
      </w:r>
      <w:r w:rsidR="000674F1">
        <w:rPr>
          <w:rFonts w:ascii="Arial" w:hAnsi="Arial" w:cs="Arial"/>
          <w:sz w:val="24"/>
          <w:szCs w:val="24"/>
        </w:rPr>
        <w:t>o</w:t>
      </w:r>
      <w:r w:rsidRPr="00232248">
        <w:rPr>
          <w:rFonts w:ascii="Arial" w:hAnsi="Arial" w:cs="Arial"/>
          <w:sz w:val="24"/>
          <w:szCs w:val="24"/>
        </w:rPr>
        <w:t xml:space="preserve"> rad Dnevnog centra i stara</w:t>
      </w:r>
      <w:r w:rsidR="000674F1">
        <w:rPr>
          <w:rFonts w:ascii="Arial" w:hAnsi="Arial" w:cs="Arial"/>
          <w:sz w:val="24"/>
          <w:szCs w:val="24"/>
        </w:rPr>
        <w:t>o</w:t>
      </w:r>
      <w:r w:rsidR="00C77838">
        <w:rPr>
          <w:rFonts w:ascii="Arial" w:hAnsi="Arial" w:cs="Arial"/>
          <w:sz w:val="24"/>
          <w:szCs w:val="24"/>
        </w:rPr>
        <w:t xml:space="preserve"> se o zakonitosti rada istog. </w:t>
      </w:r>
      <w:r w:rsidR="006A3984">
        <w:rPr>
          <w:rFonts w:ascii="Arial" w:hAnsi="Arial" w:cs="Arial"/>
          <w:sz w:val="24"/>
          <w:szCs w:val="24"/>
        </w:rPr>
        <w:t>P</w:t>
      </w:r>
      <w:r w:rsidR="00A51B46">
        <w:rPr>
          <w:rFonts w:ascii="Arial" w:hAnsi="Arial" w:cs="Arial"/>
          <w:sz w:val="24"/>
          <w:szCs w:val="24"/>
        </w:rPr>
        <w:t>osebna</w:t>
      </w:r>
      <w:r w:rsidR="006A3984">
        <w:rPr>
          <w:rFonts w:ascii="Arial" w:hAnsi="Arial" w:cs="Arial"/>
          <w:sz w:val="24"/>
          <w:szCs w:val="24"/>
        </w:rPr>
        <w:t xml:space="preserve"> pažnj</w:t>
      </w:r>
      <w:r w:rsidR="00A51B46">
        <w:rPr>
          <w:rFonts w:ascii="Arial" w:hAnsi="Arial" w:cs="Arial"/>
          <w:sz w:val="24"/>
          <w:szCs w:val="24"/>
        </w:rPr>
        <w:t>a</w:t>
      </w:r>
      <w:r w:rsidR="006A3984">
        <w:rPr>
          <w:rFonts w:ascii="Arial" w:hAnsi="Arial" w:cs="Arial"/>
          <w:sz w:val="24"/>
          <w:szCs w:val="24"/>
        </w:rPr>
        <w:t xml:space="preserve"> je posve</w:t>
      </w:r>
      <w:r w:rsidR="00A51B46">
        <w:rPr>
          <w:rFonts w:ascii="Arial" w:hAnsi="Arial" w:cs="Arial"/>
          <w:sz w:val="24"/>
          <w:szCs w:val="24"/>
        </w:rPr>
        <w:t>ćena</w:t>
      </w:r>
      <w:r w:rsidR="006A3984">
        <w:rPr>
          <w:rFonts w:ascii="Arial" w:hAnsi="Arial" w:cs="Arial"/>
          <w:sz w:val="24"/>
          <w:szCs w:val="24"/>
        </w:rPr>
        <w:t xml:space="preserve"> sara</w:t>
      </w:r>
      <w:r w:rsidR="00A51B46">
        <w:rPr>
          <w:rFonts w:ascii="Arial" w:hAnsi="Arial" w:cs="Arial"/>
          <w:sz w:val="24"/>
          <w:szCs w:val="24"/>
        </w:rPr>
        <w:t>d</w:t>
      </w:r>
      <w:r w:rsidR="006A3984">
        <w:rPr>
          <w:rFonts w:ascii="Arial" w:hAnsi="Arial" w:cs="Arial"/>
          <w:sz w:val="24"/>
          <w:szCs w:val="24"/>
        </w:rPr>
        <w:t xml:space="preserve">nji </w:t>
      </w:r>
      <w:proofErr w:type="gramStart"/>
      <w:r w:rsidR="006A3984">
        <w:rPr>
          <w:rFonts w:ascii="Arial" w:hAnsi="Arial" w:cs="Arial"/>
          <w:sz w:val="24"/>
          <w:szCs w:val="24"/>
        </w:rPr>
        <w:t>sa</w:t>
      </w:r>
      <w:proofErr w:type="gramEnd"/>
      <w:r w:rsidR="006A3984">
        <w:rPr>
          <w:rFonts w:ascii="Arial" w:hAnsi="Arial" w:cs="Arial"/>
          <w:sz w:val="24"/>
          <w:szCs w:val="24"/>
        </w:rPr>
        <w:t xml:space="preserve"> porodicama korisnika, u nastojanju da ustanova utiče na podizanje kvaliteta </w:t>
      </w:r>
      <w:r w:rsidR="00A51B46">
        <w:rPr>
          <w:rFonts w:ascii="Arial" w:hAnsi="Arial" w:cs="Arial"/>
          <w:sz w:val="24"/>
          <w:szCs w:val="24"/>
        </w:rPr>
        <w:t xml:space="preserve">njihovog </w:t>
      </w:r>
      <w:r w:rsidR="006A3984">
        <w:rPr>
          <w:rFonts w:ascii="Arial" w:hAnsi="Arial" w:cs="Arial"/>
          <w:sz w:val="24"/>
          <w:szCs w:val="24"/>
        </w:rPr>
        <w:t xml:space="preserve">života korisnika, na samo u vremenu kada koriste njene usluge, već i </w:t>
      </w:r>
      <w:r w:rsidR="00A51B46">
        <w:rPr>
          <w:rFonts w:ascii="Arial" w:hAnsi="Arial" w:cs="Arial"/>
          <w:sz w:val="24"/>
          <w:szCs w:val="24"/>
        </w:rPr>
        <w:t>kada su van ustanove. Aktivnim učešćem stručnog kadra i d</w:t>
      </w:r>
      <w:r w:rsidR="007C334C">
        <w:rPr>
          <w:rFonts w:ascii="Arial" w:hAnsi="Arial" w:cs="Arial"/>
          <w:sz w:val="24"/>
          <w:szCs w:val="24"/>
        </w:rPr>
        <w:t>i</w:t>
      </w:r>
      <w:r w:rsidR="00A51B46">
        <w:rPr>
          <w:rFonts w:ascii="Arial" w:hAnsi="Arial" w:cs="Arial"/>
          <w:sz w:val="24"/>
          <w:szCs w:val="24"/>
        </w:rPr>
        <w:t xml:space="preserve">rektora ustanove u rješavanju problema koji nijesu dio usluge ustanove, značajno se uticale </w:t>
      </w:r>
      <w:proofErr w:type="gramStart"/>
      <w:r w:rsidR="00A51B46">
        <w:rPr>
          <w:rFonts w:ascii="Arial" w:hAnsi="Arial" w:cs="Arial"/>
          <w:sz w:val="24"/>
          <w:szCs w:val="24"/>
        </w:rPr>
        <w:t>na</w:t>
      </w:r>
      <w:proofErr w:type="gramEnd"/>
      <w:r w:rsidR="00A51B46">
        <w:rPr>
          <w:rFonts w:ascii="Arial" w:hAnsi="Arial" w:cs="Arial"/>
          <w:sz w:val="24"/>
          <w:szCs w:val="24"/>
        </w:rPr>
        <w:t xml:space="preserve"> poboljšanje kvaliteta života korisnika i njihovih porodica. </w:t>
      </w:r>
      <w:r w:rsidR="006A3984">
        <w:rPr>
          <w:rFonts w:ascii="Arial" w:hAnsi="Arial" w:cs="Arial"/>
          <w:sz w:val="24"/>
          <w:szCs w:val="24"/>
        </w:rPr>
        <w:t xml:space="preserve">  </w:t>
      </w:r>
      <w:r w:rsidR="00A51B46">
        <w:rPr>
          <w:rFonts w:ascii="Arial" w:hAnsi="Arial" w:cs="Arial"/>
          <w:sz w:val="24"/>
          <w:szCs w:val="24"/>
        </w:rPr>
        <w:t xml:space="preserve">Vidljivost aktivnosti ustanove, kao poseban faktor poboljšanja odnosa društvene </w:t>
      </w:r>
      <w:r w:rsidR="00A51B46">
        <w:rPr>
          <w:rFonts w:ascii="Arial" w:hAnsi="Arial" w:cs="Arial"/>
          <w:sz w:val="24"/>
          <w:szCs w:val="24"/>
        </w:rPr>
        <w:lastRenderedPageBreak/>
        <w:t xml:space="preserve">zajednice prema, ne samo korisnicima usluga, već i prema osobama </w:t>
      </w:r>
      <w:proofErr w:type="gramStart"/>
      <w:r w:rsidR="00A51B46">
        <w:rPr>
          <w:rFonts w:ascii="Arial" w:hAnsi="Arial" w:cs="Arial"/>
          <w:sz w:val="24"/>
          <w:szCs w:val="24"/>
        </w:rPr>
        <w:t>sa</w:t>
      </w:r>
      <w:proofErr w:type="gramEnd"/>
      <w:r w:rsidR="00A51B46">
        <w:rPr>
          <w:rFonts w:ascii="Arial" w:hAnsi="Arial" w:cs="Arial"/>
          <w:sz w:val="24"/>
          <w:szCs w:val="24"/>
        </w:rPr>
        <w:t xml:space="preserve"> invaliditetom uopšte, promovisana je i u izvještajnoj godini, kroz nastupe na lokalnim i regionalnim medijima.</w:t>
      </w:r>
      <w:r w:rsidR="006A3984">
        <w:rPr>
          <w:rFonts w:ascii="Arial" w:hAnsi="Arial" w:cs="Arial"/>
          <w:sz w:val="24"/>
          <w:szCs w:val="24"/>
        </w:rPr>
        <w:t xml:space="preserve"> </w:t>
      </w:r>
      <w:r w:rsidR="00C77838">
        <w:rPr>
          <w:rFonts w:ascii="Arial" w:hAnsi="Arial" w:cs="Arial"/>
          <w:sz w:val="24"/>
          <w:szCs w:val="24"/>
        </w:rPr>
        <w:t xml:space="preserve"> 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</w:p>
    <w:p w:rsid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>REALIZACIJA PROGRAMSKIH AKTIVNOSTI U 202</w:t>
      </w:r>
      <w:r w:rsidR="00A51B46">
        <w:rPr>
          <w:rFonts w:ascii="Arial" w:hAnsi="Arial" w:cs="Arial"/>
          <w:sz w:val="24"/>
          <w:szCs w:val="24"/>
        </w:rPr>
        <w:t>3</w:t>
      </w:r>
      <w:r w:rsidR="007D6D72">
        <w:rPr>
          <w:rFonts w:ascii="Arial" w:hAnsi="Arial" w:cs="Arial"/>
          <w:sz w:val="24"/>
          <w:szCs w:val="24"/>
        </w:rPr>
        <w:t>.</w:t>
      </w:r>
      <w:r w:rsidRPr="00232248">
        <w:rPr>
          <w:rFonts w:ascii="Arial" w:hAnsi="Arial" w:cs="Arial"/>
          <w:sz w:val="24"/>
          <w:szCs w:val="24"/>
        </w:rPr>
        <w:t xml:space="preserve"> GODINI</w:t>
      </w:r>
    </w:p>
    <w:p w:rsidR="001E6E9D" w:rsidRPr="00232248" w:rsidRDefault="001E6E9D" w:rsidP="00232248">
      <w:pPr>
        <w:jc w:val="both"/>
        <w:rPr>
          <w:rFonts w:ascii="Arial" w:hAnsi="Arial" w:cs="Arial"/>
          <w:sz w:val="24"/>
          <w:szCs w:val="24"/>
        </w:rPr>
      </w:pPr>
    </w:p>
    <w:p w:rsidR="001E6E9D" w:rsidRDefault="00A51B46" w:rsidP="005B2363">
      <w:pPr>
        <w:spacing w:after="0"/>
        <w:ind w:firstLine="426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Kvalite</w:t>
      </w:r>
      <w:r w:rsidR="001E6E9D" w:rsidRPr="00DB2E9F">
        <w:rPr>
          <w:rFonts w:ascii="Arial" w:hAnsi="Arial" w:cs="Arial"/>
          <w:sz w:val="24"/>
          <w:szCs w:val="24"/>
          <w:lang w:val="sl-SI"/>
        </w:rPr>
        <w:t xml:space="preserve">t usluga Dnevnog centra </w:t>
      </w:r>
      <w:r>
        <w:rPr>
          <w:rFonts w:ascii="Arial" w:hAnsi="Arial" w:cs="Arial"/>
          <w:sz w:val="24"/>
          <w:szCs w:val="24"/>
          <w:lang w:val="sl-SI"/>
        </w:rPr>
        <w:t xml:space="preserve">je i prethodne godine bio u fokusu aktivnosti </w:t>
      </w:r>
      <w:r w:rsidR="001E6E9D" w:rsidRPr="00DB2E9F">
        <w:rPr>
          <w:rFonts w:ascii="Arial" w:hAnsi="Arial" w:cs="Arial"/>
          <w:sz w:val="24"/>
          <w:szCs w:val="24"/>
          <w:lang w:val="sl-SI"/>
        </w:rPr>
        <w:t>koj</w:t>
      </w:r>
      <w:r>
        <w:rPr>
          <w:rFonts w:ascii="Arial" w:hAnsi="Arial" w:cs="Arial"/>
          <w:sz w:val="24"/>
          <w:szCs w:val="24"/>
          <w:lang w:val="sl-SI"/>
        </w:rPr>
        <w:t>e</w:t>
      </w:r>
      <w:r w:rsidR="001E6E9D" w:rsidRPr="00DB2E9F">
        <w:rPr>
          <w:rFonts w:ascii="Arial" w:hAnsi="Arial" w:cs="Arial"/>
          <w:sz w:val="24"/>
          <w:szCs w:val="24"/>
          <w:lang w:val="sl-SI"/>
        </w:rPr>
        <w:t xml:space="preserve"> s</w:t>
      </w:r>
      <w:r w:rsidR="004C46D5">
        <w:rPr>
          <w:rFonts w:ascii="Arial" w:hAnsi="Arial" w:cs="Arial"/>
          <w:sz w:val="24"/>
          <w:szCs w:val="24"/>
          <w:lang w:val="sl-SI"/>
        </w:rPr>
        <w:t xml:space="preserve">u realizovane. Osnovne aktivnosti, koje predstavljaju konstantu u pružanju usluga ustanove su </w:t>
      </w:r>
      <w:r w:rsidR="00471F39">
        <w:rPr>
          <w:rFonts w:ascii="Arial" w:hAnsi="Arial" w:cs="Arial"/>
          <w:sz w:val="24"/>
          <w:szCs w:val="24"/>
          <w:lang w:val="sl-SI"/>
        </w:rPr>
        <w:t>realizovane kao i svake godine. To su:</w:t>
      </w:r>
      <w:r w:rsidR="004C46D5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1E6E9D" w:rsidRPr="005F6A3F" w:rsidRDefault="001E6E9D" w:rsidP="001E6E9D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dnevni boravak;</w:t>
      </w:r>
    </w:p>
    <w:p w:rsidR="001E6E9D" w:rsidRPr="00DB2E9F" w:rsidRDefault="001E6E9D" w:rsidP="001E6E9D">
      <w:pPr>
        <w:pStyle w:val="ListParagraph"/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4"/>
          <w:szCs w:val="24"/>
          <w:lang w:val="sl-SI"/>
        </w:rPr>
      </w:pPr>
      <w:r w:rsidRPr="00DB2E9F">
        <w:rPr>
          <w:rFonts w:ascii="Arial" w:hAnsi="Arial" w:cs="Arial"/>
          <w:sz w:val="24"/>
          <w:szCs w:val="24"/>
          <w:lang w:val="sl-SI"/>
        </w:rPr>
        <w:t xml:space="preserve">obezbjeđenje higijenskih uslova boravka u prostorijama Dnevnog centra na najvišem nivou, </w:t>
      </w:r>
    </w:p>
    <w:p w:rsidR="001E6E9D" w:rsidRPr="005377C3" w:rsidRDefault="001E6E9D" w:rsidP="001E6E9D">
      <w:pPr>
        <w:pStyle w:val="ListParagraph"/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4"/>
          <w:szCs w:val="24"/>
          <w:lang w:val="sl-SI"/>
        </w:rPr>
      </w:pPr>
      <w:r w:rsidRPr="00DB2E9F">
        <w:rPr>
          <w:rFonts w:ascii="Arial" w:hAnsi="Arial" w:cs="Arial"/>
          <w:sz w:val="24"/>
          <w:szCs w:val="24"/>
          <w:lang w:val="sl-SI"/>
        </w:rPr>
        <w:t xml:space="preserve">obezbjeđenje obroka </w:t>
      </w:r>
      <w:r>
        <w:rPr>
          <w:rFonts w:ascii="Arial" w:hAnsi="Arial" w:cs="Arial"/>
          <w:sz w:val="24"/>
          <w:szCs w:val="24"/>
          <w:lang w:val="sl-SI"/>
        </w:rPr>
        <w:t xml:space="preserve">u skladu sa </w:t>
      </w:r>
      <w:r w:rsidRPr="00DB2E9F">
        <w:rPr>
          <w:rFonts w:ascii="Arial" w:hAnsi="Arial" w:cs="Arial"/>
          <w:sz w:val="24"/>
          <w:szCs w:val="24"/>
          <w:lang w:val="sl-SI"/>
        </w:rPr>
        <w:t xml:space="preserve"> HACCP sertifikovani</w:t>
      </w:r>
      <w:r>
        <w:rPr>
          <w:rFonts w:ascii="Arial" w:hAnsi="Arial" w:cs="Arial"/>
          <w:sz w:val="24"/>
          <w:szCs w:val="24"/>
          <w:lang w:val="sl-SI"/>
        </w:rPr>
        <w:t>m</w:t>
      </w:r>
      <w:r w:rsidRPr="00DB2E9F">
        <w:rPr>
          <w:rFonts w:ascii="Arial" w:hAnsi="Arial" w:cs="Arial"/>
          <w:sz w:val="24"/>
          <w:szCs w:val="24"/>
          <w:lang w:val="sl-SI"/>
        </w:rPr>
        <w:t xml:space="preserve"> sistem</w:t>
      </w:r>
      <w:r>
        <w:rPr>
          <w:rFonts w:ascii="Arial" w:hAnsi="Arial" w:cs="Arial"/>
          <w:sz w:val="24"/>
          <w:szCs w:val="24"/>
          <w:lang w:val="sl-SI"/>
        </w:rPr>
        <w:t xml:space="preserve">om - dva </w:t>
      </w:r>
      <w:r w:rsidRPr="005377C3">
        <w:rPr>
          <w:rFonts w:ascii="Arial" w:hAnsi="Arial" w:cs="Arial"/>
          <w:sz w:val="24"/>
          <w:szCs w:val="24"/>
          <w:lang w:val="sl-SI"/>
        </w:rPr>
        <w:t xml:space="preserve">obroka za djecu sa smetnjama u razvoju i </w:t>
      </w:r>
      <w:r>
        <w:rPr>
          <w:rFonts w:ascii="Arial" w:hAnsi="Arial" w:cs="Arial"/>
          <w:sz w:val="24"/>
          <w:szCs w:val="24"/>
          <w:lang w:val="sl-SI"/>
        </w:rPr>
        <w:t xml:space="preserve">najmanje </w:t>
      </w:r>
      <w:r w:rsidRPr="005377C3">
        <w:rPr>
          <w:rFonts w:ascii="Arial" w:hAnsi="Arial" w:cs="Arial"/>
          <w:sz w:val="24"/>
          <w:szCs w:val="24"/>
          <w:lang w:val="sl-SI"/>
        </w:rPr>
        <w:t>jedan obrok za osobe sa invaliditetom</w:t>
      </w:r>
      <w:r>
        <w:rPr>
          <w:rFonts w:ascii="Arial" w:hAnsi="Arial" w:cs="Arial"/>
          <w:sz w:val="24"/>
          <w:szCs w:val="24"/>
          <w:lang w:val="sl-SI"/>
        </w:rPr>
        <w:t xml:space="preserve"> -</w:t>
      </w:r>
      <w:r w:rsidR="009B0A2B">
        <w:rPr>
          <w:rFonts w:ascii="Arial" w:hAnsi="Arial" w:cs="Arial"/>
          <w:sz w:val="24"/>
          <w:szCs w:val="24"/>
          <w:lang w:val="sl-SI"/>
        </w:rPr>
        <w:t xml:space="preserve"> </w:t>
      </w:r>
      <w:r w:rsidRPr="005377C3">
        <w:rPr>
          <w:rFonts w:ascii="Arial" w:hAnsi="Arial" w:cs="Arial"/>
          <w:sz w:val="24"/>
          <w:szCs w:val="24"/>
          <w:lang w:val="sl-SI"/>
        </w:rPr>
        <w:t xml:space="preserve">OSI; </w:t>
      </w:r>
    </w:p>
    <w:p w:rsidR="001E6E9D" w:rsidRPr="005377C3" w:rsidRDefault="001E6E9D" w:rsidP="001E6E9D">
      <w:pPr>
        <w:pStyle w:val="ListParagraph"/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4"/>
          <w:szCs w:val="24"/>
          <w:lang w:val="sl-SI"/>
        </w:rPr>
      </w:pPr>
      <w:r w:rsidRPr="00DB2E9F">
        <w:rPr>
          <w:rFonts w:ascii="Arial" w:hAnsi="Arial" w:cs="Arial"/>
          <w:sz w:val="24"/>
          <w:szCs w:val="24"/>
          <w:lang w:val="sl-SI"/>
        </w:rPr>
        <w:t xml:space="preserve">obezbjeđenje prevoza </w:t>
      </w:r>
      <w:r w:rsidRPr="005377C3">
        <w:rPr>
          <w:rFonts w:ascii="Arial" w:hAnsi="Arial" w:cs="Arial"/>
          <w:sz w:val="24"/>
          <w:szCs w:val="24"/>
          <w:lang w:val="sl-SI"/>
        </w:rPr>
        <w:t>djece sa smetnjama u razvoju i OSI prema mogućnostima u skladu sa Pravilnikom o organizovanom prevozu;</w:t>
      </w:r>
    </w:p>
    <w:p w:rsidR="001E6E9D" w:rsidRPr="005377C3" w:rsidRDefault="001E6E9D" w:rsidP="001E6E9D">
      <w:pPr>
        <w:pStyle w:val="ListParagraph"/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4"/>
          <w:szCs w:val="24"/>
          <w:lang w:val="sl-SI"/>
        </w:rPr>
      </w:pPr>
      <w:r w:rsidRPr="005377C3">
        <w:rPr>
          <w:rFonts w:ascii="Arial" w:hAnsi="Arial" w:cs="Arial"/>
          <w:sz w:val="24"/>
          <w:szCs w:val="24"/>
          <w:lang w:val="sl-SI"/>
        </w:rPr>
        <w:t>organizacija stručnog, grupnog i individualnog rada stručnih lica sa korisnicima, u skladu sa preporukama Komisije za usmjeravanje i Centra za socijalni rad i programima usvojenim od strane stručnih lica Dnevnog centra;</w:t>
      </w:r>
    </w:p>
    <w:p w:rsidR="001E6E9D" w:rsidRPr="005377C3" w:rsidRDefault="001E6E9D" w:rsidP="001E6E9D">
      <w:pPr>
        <w:pStyle w:val="ListParagraph"/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4"/>
          <w:szCs w:val="24"/>
          <w:lang w:val="sl-SI"/>
        </w:rPr>
      </w:pPr>
      <w:r w:rsidRPr="005377C3">
        <w:rPr>
          <w:rFonts w:ascii="Arial" w:hAnsi="Arial" w:cs="Arial"/>
          <w:sz w:val="24"/>
          <w:szCs w:val="24"/>
          <w:lang w:val="sl-SI"/>
        </w:rPr>
        <w:t>fizioterapeutski tretman naših korisnika (elementarna rehabilitacija</w:t>
      </w:r>
      <w:r>
        <w:rPr>
          <w:rFonts w:ascii="Arial" w:hAnsi="Arial" w:cs="Arial"/>
          <w:sz w:val="24"/>
          <w:szCs w:val="24"/>
          <w:lang w:val="sl-SI"/>
        </w:rPr>
        <w:t xml:space="preserve"> i relaksacija</w:t>
      </w:r>
      <w:r w:rsidRPr="005377C3">
        <w:rPr>
          <w:rFonts w:ascii="Arial" w:hAnsi="Arial" w:cs="Arial"/>
          <w:sz w:val="24"/>
          <w:szCs w:val="24"/>
          <w:lang w:val="sl-SI"/>
        </w:rPr>
        <w:t>);</w:t>
      </w:r>
    </w:p>
    <w:p w:rsidR="001E6E9D" w:rsidRPr="005377C3" w:rsidRDefault="001E6E9D" w:rsidP="001E6E9D">
      <w:pPr>
        <w:pStyle w:val="ListParagraph"/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4"/>
          <w:szCs w:val="24"/>
          <w:lang w:val="sl-SI"/>
        </w:rPr>
      </w:pPr>
      <w:r w:rsidRPr="005377C3">
        <w:rPr>
          <w:rFonts w:ascii="Arial" w:hAnsi="Arial" w:cs="Arial"/>
          <w:sz w:val="24"/>
          <w:szCs w:val="24"/>
          <w:lang w:val="sl-SI"/>
        </w:rPr>
        <w:t>organizacija događaja koji podstiču interakciju sa sredinom u kojoj žive naši korisnici;</w:t>
      </w:r>
    </w:p>
    <w:p w:rsidR="001E6E9D" w:rsidRPr="005377C3" w:rsidRDefault="001E6E9D" w:rsidP="001E6E9D">
      <w:pPr>
        <w:pStyle w:val="ListParagraph"/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4"/>
          <w:szCs w:val="24"/>
          <w:lang w:val="sl-SI"/>
        </w:rPr>
      </w:pPr>
      <w:r w:rsidRPr="005377C3">
        <w:rPr>
          <w:rFonts w:ascii="Arial" w:hAnsi="Arial" w:cs="Arial"/>
          <w:sz w:val="24"/>
          <w:szCs w:val="24"/>
          <w:lang w:val="sl-SI"/>
        </w:rPr>
        <w:t xml:space="preserve">implementacija </w:t>
      </w:r>
      <w:r>
        <w:rPr>
          <w:rFonts w:ascii="Arial" w:hAnsi="Arial" w:cs="Arial"/>
          <w:sz w:val="24"/>
          <w:szCs w:val="24"/>
          <w:lang w:val="sl-SI"/>
        </w:rPr>
        <w:t xml:space="preserve">inovativnih </w:t>
      </w:r>
      <w:r w:rsidRPr="005377C3">
        <w:rPr>
          <w:rFonts w:ascii="Arial" w:hAnsi="Arial" w:cs="Arial"/>
          <w:sz w:val="24"/>
          <w:szCs w:val="24"/>
          <w:lang w:val="sl-SI"/>
        </w:rPr>
        <w:t xml:space="preserve">programa za rad sa </w:t>
      </w:r>
      <w:r w:rsidR="009B0A2B">
        <w:rPr>
          <w:rFonts w:ascii="Arial" w:hAnsi="Arial" w:cs="Arial"/>
          <w:sz w:val="24"/>
          <w:szCs w:val="24"/>
          <w:lang w:val="sl-SI"/>
        </w:rPr>
        <w:t>korisnicima iz autističnog spektra</w:t>
      </w:r>
      <w:r w:rsidRPr="005377C3">
        <w:rPr>
          <w:rFonts w:ascii="Arial" w:hAnsi="Arial" w:cs="Arial"/>
          <w:sz w:val="24"/>
          <w:szCs w:val="24"/>
          <w:lang w:val="sl-SI"/>
        </w:rPr>
        <w:t>;</w:t>
      </w:r>
    </w:p>
    <w:p w:rsidR="001E6E9D" w:rsidRDefault="001E6E9D" w:rsidP="001E6E9D">
      <w:pPr>
        <w:pStyle w:val="ListParagraph"/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r</w:t>
      </w:r>
      <w:r w:rsidRPr="005377C3">
        <w:rPr>
          <w:rFonts w:ascii="Arial" w:hAnsi="Arial" w:cs="Arial"/>
          <w:sz w:val="24"/>
          <w:szCs w:val="24"/>
          <w:lang w:val="sl-SI"/>
        </w:rPr>
        <w:t>adn</w:t>
      </w:r>
      <w:r>
        <w:rPr>
          <w:rFonts w:ascii="Arial" w:hAnsi="Arial" w:cs="Arial"/>
          <w:sz w:val="24"/>
          <w:szCs w:val="24"/>
          <w:lang w:val="sl-SI"/>
        </w:rPr>
        <w:t>a</w:t>
      </w:r>
      <w:r w:rsidRPr="005377C3">
        <w:rPr>
          <w:rFonts w:ascii="Arial" w:hAnsi="Arial" w:cs="Arial"/>
          <w:sz w:val="24"/>
          <w:szCs w:val="24"/>
          <w:lang w:val="sl-SI"/>
        </w:rPr>
        <w:t>-okupaci</w:t>
      </w:r>
      <w:r>
        <w:rPr>
          <w:rFonts w:ascii="Arial" w:hAnsi="Arial" w:cs="Arial"/>
          <w:sz w:val="24"/>
          <w:szCs w:val="24"/>
          <w:lang w:val="sl-SI"/>
        </w:rPr>
        <w:t>ja,</w:t>
      </w:r>
      <w:r w:rsidRPr="005377C3">
        <w:rPr>
          <w:rFonts w:ascii="Arial" w:hAnsi="Arial" w:cs="Arial"/>
          <w:sz w:val="24"/>
          <w:szCs w:val="24"/>
          <w:lang w:val="sl-SI"/>
        </w:rPr>
        <w:t xml:space="preserve"> okupacija sportom na principima Specijalne olimpijade</w:t>
      </w:r>
      <w:r>
        <w:rPr>
          <w:rFonts w:ascii="Arial" w:hAnsi="Arial" w:cs="Arial"/>
          <w:sz w:val="24"/>
          <w:szCs w:val="24"/>
          <w:lang w:val="sl-SI"/>
        </w:rPr>
        <w:t xml:space="preserve"> i art okupacija</w:t>
      </w:r>
      <w:r w:rsidRPr="005377C3">
        <w:rPr>
          <w:rFonts w:ascii="Arial" w:hAnsi="Arial" w:cs="Arial"/>
          <w:sz w:val="24"/>
          <w:szCs w:val="24"/>
          <w:lang w:val="sl-SI"/>
        </w:rPr>
        <w:t>;</w:t>
      </w:r>
    </w:p>
    <w:p w:rsidR="00C77838" w:rsidRPr="00471F39" w:rsidRDefault="00C77838" w:rsidP="00C77838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C77838">
        <w:rPr>
          <w:rFonts w:ascii="Arial" w:hAnsi="Arial" w:cs="Arial"/>
          <w:sz w:val="24"/>
          <w:szCs w:val="24"/>
          <w:lang w:val="sl-SI"/>
        </w:rPr>
        <w:t>senzorna integracija kao terapeutski tretman naših korisnika</w:t>
      </w:r>
      <w:r w:rsidR="00471F39">
        <w:rPr>
          <w:rFonts w:ascii="Arial" w:hAnsi="Arial" w:cs="Arial"/>
          <w:sz w:val="24"/>
          <w:szCs w:val="24"/>
          <w:lang w:val="sl-SI"/>
        </w:rPr>
        <w:t>;</w:t>
      </w:r>
    </w:p>
    <w:p w:rsidR="00471F39" w:rsidRPr="00C77838" w:rsidRDefault="00471F39" w:rsidP="00471F39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:rsidR="00C77838" w:rsidRDefault="00471F39" w:rsidP="00471F39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 Dnevnog centra su pratile i aktivnosti koje su dio normativnih obaveza u skladu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32248" w:rsidRPr="00232248">
        <w:rPr>
          <w:rFonts w:ascii="Arial" w:hAnsi="Arial" w:cs="Arial"/>
          <w:sz w:val="24"/>
          <w:szCs w:val="24"/>
        </w:rPr>
        <w:t>Pravilnik</w:t>
      </w:r>
      <w:r>
        <w:rPr>
          <w:rFonts w:ascii="Arial" w:hAnsi="Arial" w:cs="Arial"/>
          <w:sz w:val="24"/>
          <w:szCs w:val="24"/>
        </w:rPr>
        <w:t>om</w:t>
      </w:r>
      <w:r w:rsidR="00232248" w:rsidRPr="00232248">
        <w:rPr>
          <w:rFonts w:ascii="Arial" w:hAnsi="Arial" w:cs="Arial"/>
          <w:sz w:val="24"/>
          <w:szCs w:val="24"/>
        </w:rPr>
        <w:t xml:space="preserve"> o bližim uslovima za pružanje i korišćenje, normativima i minimalnim standardima usluga podrške za život u zajednici</w:t>
      </w:r>
      <w:r>
        <w:rPr>
          <w:rFonts w:ascii="Arial" w:hAnsi="Arial" w:cs="Arial"/>
          <w:sz w:val="24"/>
          <w:szCs w:val="24"/>
        </w:rPr>
        <w:t>, u vidu vođenja evidencije o korisnicima i događajima, izrade individualnih planova i ostalih analitičkih dokumenata neophodnih za rad sa korisnicima usluga.</w:t>
      </w:r>
      <w:r w:rsidR="00870FE2">
        <w:rPr>
          <w:rFonts w:ascii="Arial" w:hAnsi="Arial" w:cs="Arial"/>
          <w:sz w:val="24"/>
          <w:szCs w:val="24"/>
        </w:rPr>
        <w:t xml:space="preserve"> </w:t>
      </w:r>
      <w:r w:rsidR="00232248" w:rsidRPr="00232248">
        <w:rPr>
          <w:rFonts w:ascii="Arial" w:hAnsi="Arial" w:cs="Arial"/>
          <w:sz w:val="24"/>
          <w:szCs w:val="24"/>
        </w:rPr>
        <w:t xml:space="preserve">U cilju stvaranja optimalnih uslova boravka u Dnevnom centru nastavilo se </w:t>
      </w:r>
      <w:proofErr w:type="gramStart"/>
      <w:r w:rsidR="00232248" w:rsidRPr="00232248">
        <w:rPr>
          <w:rFonts w:ascii="Arial" w:hAnsi="Arial" w:cs="Arial"/>
          <w:sz w:val="24"/>
          <w:szCs w:val="24"/>
        </w:rPr>
        <w:t>sa</w:t>
      </w:r>
      <w:proofErr w:type="gramEnd"/>
      <w:r w:rsidR="00232248" w:rsidRPr="00232248">
        <w:rPr>
          <w:rFonts w:ascii="Arial" w:hAnsi="Arial" w:cs="Arial"/>
          <w:sz w:val="24"/>
          <w:szCs w:val="24"/>
        </w:rPr>
        <w:t xml:space="preserve"> praksom da, osim radnika, korisnici usluga vrše sanitarne preglede dva puta godišnje.</w:t>
      </w:r>
    </w:p>
    <w:p w:rsidR="0015535B" w:rsidRDefault="0015535B" w:rsidP="0015535B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Interakcija između stručnog tima Dnevnog centra i porodica korisnika je postala značajan segment u radu naše ustanove. Značaj informacija o stanju u porodicama koje implicira promjene u ponašanju korisnika, rezultirao je praksom kontinuiranih sastanaka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roditeljima. Na ovaj način se kvalitetnije prati stanje korisnika, analiziraju razlozi za eventualne promjene u ponašanju i definišu načini za </w:t>
      </w:r>
      <w:proofErr w:type="gramStart"/>
      <w:r>
        <w:rPr>
          <w:rFonts w:ascii="Arial" w:hAnsi="Arial" w:cs="Arial"/>
          <w:sz w:val="24"/>
          <w:szCs w:val="24"/>
        </w:rPr>
        <w:t>rješavanje  problema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lastRenderedPageBreak/>
        <w:t xml:space="preserve">U ovaj proces se, po potrebi, uključuju i voditelji slučaja iz Centra za socijalni rad, kako bi se pronašli najeefikasniji načini za rješavanje problema. </w:t>
      </w:r>
    </w:p>
    <w:p w:rsidR="0015535B" w:rsidRDefault="0015535B" w:rsidP="00471F39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870FE2" w:rsidRDefault="00870FE2" w:rsidP="00471F39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870FE2" w:rsidRDefault="00870FE2" w:rsidP="00471F39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PROJEKTI</w:t>
      </w:r>
    </w:p>
    <w:p w:rsidR="00870FE2" w:rsidRDefault="00471F39" w:rsidP="00471F39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Početkom godine, krenula je realizacija projekta "Granice koje spajaju", sufinansirana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stane IPA fondova. Ovaj projekat, koji se realizuje zajedno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NVO IMPULS iz Nikšića i DEČIJE SRCE iz Beograda, ima poseban značaj na poboljšanje uslova rada u Dnevnom centru i podizanje </w:t>
      </w:r>
      <w:r w:rsidR="007C334C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valiteta života osoba sa invaliditetom iz naše opšti</w:t>
      </w:r>
      <w:r w:rsidR="004F5F38">
        <w:rPr>
          <w:rFonts w:ascii="Arial" w:hAnsi="Arial" w:cs="Arial"/>
          <w:sz w:val="24"/>
          <w:szCs w:val="24"/>
        </w:rPr>
        <w:t xml:space="preserve">ne, kao i opština Plužine i Šavnik. U sklopu projekta, osobe </w:t>
      </w:r>
      <w:proofErr w:type="gramStart"/>
      <w:r w:rsidR="004F5F38">
        <w:rPr>
          <w:rFonts w:ascii="Arial" w:hAnsi="Arial" w:cs="Arial"/>
          <w:sz w:val="24"/>
          <w:szCs w:val="24"/>
        </w:rPr>
        <w:t>sa</w:t>
      </w:r>
      <w:proofErr w:type="gramEnd"/>
      <w:r w:rsidR="004F5F38">
        <w:rPr>
          <w:rFonts w:ascii="Arial" w:hAnsi="Arial" w:cs="Arial"/>
          <w:sz w:val="24"/>
          <w:szCs w:val="24"/>
        </w:rPr>
        <w:t xml:space="preserve"> invalidite</w:t>
      </w:r>
      <w:r w:rsidR="007C334C">
        <w:rPr>
          <w:rFonts w:ascii="Arial" w:hAnsi="Arial" w:cs="Arial"/>
          <w:sz w:val="24"/>
          <w:szCs w:val="24"/>
        </w:rPr>
        <w:t>t</w:t>
      </w:r>
      <w:r w:rsidR="004F5F38">
        <w:rPr>
          <w:rFonts w:ascii="Arial" w:hAnsi="Arial" w:cs="Arial"/>
          <w:sz w:val="24"/>
          <w:szCs w:val="24"/>
        </w:rPr>
        <w:t>om iz ovih opština su dobile priliku da poboljšaju kvalitet uključenosti u društvenu zajednicu, kroz edukacije koje će proširiti mogućnosti na tržištu rada. Osim toga, naša ustanova je dobila novo kombi vozilo.</w:t>
      </w:r>
    </w:p>
    <w:p w:rsidR="00870FE2" w:rsidRDefault="00870FE2" w:rsidP="00471F39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Zajedno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lokalnim partnerima, Opštinom Nikšić, RTV NIkšić i Srednjom stručnom školom, započeli smo realizaciju projekta "Program izvrsnosti zapošljavanja", kojeg sufinansiraju Evropska unija i Ministarstvo finansija Crne Gore. U sklopu ovog projekta, u našoj ustanovi </w:t>
      </w:r>
      <w:proofErr w:type="gramStart"/>
      <w:r>
        <w:rPr>
          <w:rFonts w:ascii="Arial" w:hAnsi="Arial" w:cs="Arial"/>
          <w:sz w:val="24"/>
          <w:szCs w:val="24"/>
        </w:rPr>
        <w:t>će</w:t>
      </w:r>
      <w:proofErr w:type="gramEnd"/>
      <w:r>
        <w:rPr>
          <w:rFonts w:ascii="Arial" w:hAnsi="Arial" w:cs="Arial"/>
          <w:sz w:val="24"/>
          <w:szCs w:val="24"/>
        </w:rPr>
        <w:t xml:space="preserve"> biti angažovane dvije osobe na period od deset mjeseci, koje će biti obučene za impleme</w:t>
      </w:r>
      <w:r w:rsidR="007C334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taciju radne okupacije, na vrijednoj opremi koja je nabavljena u okviru programa.</w:t>
      </w:r>
    </w:p>
    <w:p w:rsidR="004F5F38" w:rsidRDefault="00870FE2" w:rsidP="004F5F38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F5F38">
        <w:rPr>
          <w:rFonts w:ascii="Arial" w:hAnsi="Arial" w:cs="Arial"/>
          <w:sz w:val="24"/>
          <w:szCs w:val="24"/>
        </w:rPr>
        <w:t xml:space="preserve"> Nastavljeno je tradicionalno učešće </w:t>
      </w:r>
      <w:proofErr w:type="gramStart"/>
      <w:r w:rsidR="004F5F38">
        <w:rPr>
          <w:rFonts w:ascii="Arial" w:hAnsi="Arial" w:cs="Arial"/>
          <w:sz w:val="24"/>
          <w:szCs w:val="24"/>
        </w:rPr>
        <w:t>na</w:t>
      </w:r>
      <w:proofErr w:type="gramEnd"/>
      <w:r w:rsidR="004F5F38">
        <w:rPr>
          <w:rFonts w:ascii="Arial" w:hAnsi="Arial" w:cs="Arial"/>
          <w:sz w:val="24"/>
          <w:szCs w:val="24"/>
        </w:rPr>
        <w:t xml:space="preserve"> konkursima koje raspisuje </w:t>
      </w:r>
      <w:r w:rsidR="005868FE">
        <w:rPr>
          <w:rFonts w:ascii="Arial" w:hAnsi="Arial" w:cs="Arial"/>
          <w:sz w:val="24"/>
          <w:szCs w:val="24"/>
        </w:rPr>
        <w:t>Zavod za zapošljavanje Crne Gore</w:t>
      </w:r>
      <w:r w:rsidR="004F5F38">
        <w:rPr>
          <w:rFonts w:ascii="Arial" w:hAnsi="Arial" w:cs="Arial"/>
          <w:sz w:val="24"/>
          <w:szCs w:val="24"/>
        </w:rPr>
        <w:t xml:space="preserve">. Izradom projekata i apliciranjem </w:t>
      </w:r>
      <w:proofErr w:type="gramStart"/>
      <w:r w:rsidR="004F5F38">
        <w:rPr>
          <w:rFonts w:ascii="Arial" w:hAnsi="Arial" w:cs="Arial"/>
          <w:sz w:val="24"/>
          <w:szCs w:val="24"/>
        </w:rPr>
        <w:t>na</w:t>
      </w:r>
      <w:proofErr w:type="gramEnd"/>
      <w:r w:rsidR="004F5F38">
        <w:rPr>
          <w:rFonts w:ascii="Arial" w:hAnsi="Arial" w:cs="Arial"/>
          <w:sz w:val="24"/>
          <w:szCs w:val="24"/>
        </w:rPr>
        <w:t xml:space="preserve"> ovim konkursima, ustanova je podigla kvalitet usluga kroz angažman 10 lica, koja su kroz obuke stekla znanja za rad sa osobama sa invaliditetom.</w:t>
      </w:r>
    </w:p>
    <w:p w:rsidR="006A48FC" w:rsidRDefault="0015535B" w:rsidP="004F5F38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Saradnja sa NVO MOZAIK iz Nikšića </w:t>
      </w:r>
      <w:proofErr w:type="gramStart"/>
      <w:r>
        <w:rPr>
          <w:rFonts w:ascii="Arial" w:hAnsi="Arial" w:cs="Arial"/>
          <w:sz w:val="24"/>
          <w:szCs w:val="24"/>
        </w:rPr>
        <w:t>i  Centrom</w:t>
      </w:r>
      <w:proofErr w:type="gramEnd"/>
      <w:r>
        <w:rPr>
          <w:rFonts w:ascii="Arial" w:hAnsi="Arial" w:cs="Arial"/>
          <w:sz w:val="24"/>
          <w:szCs w:val="24"/>
        </w:rPr>
        <w:t xml:space="preserve"> "Vladimir Nazor" iz Sarajeva, rezultiral</w:t>
      </w:r>
      <w:r w:rsidR="007C334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je saradnjom i izradom </w:t>
      </w:r>
      <w:r w:rsidR="005763CB">
        <w:rPr>
          <w:rFonts w:ascii="Arial" w:hAnsi="Arial" w:cs="Arial"/>
          <w:sz w:val="24"/>
          <w:szCs w:val="24"/>
        </w:rPr>
        <w:t xml:space="preserve">koncept note projekta "Teatar" kojom smo aplicirali za raspodjelu sredstava </w:t>
      </w:r>
      <w:r w:rsidR="00E20CBA">
        <w:rPr>
          <w:rFonts w:ascii="Arial" w:hAnsi="Arial" w:cs="Arial"/>
          <w:sz w:val="24"/>
          <w:szCs w:val="24"/>
        </w:rPr>
        <w:t>iz IPA fondova prekogranične saradnje</w:t>
      </w:r>
      <w:r w:rsidR="005763CB">
        <w:rPr>
          <w:rFonts w:ascii="Arial" w:hAnsi="Arial" w:cs="Arial"/>
          <w:sz w:val="24"/>
          <w:szCs w:val="24"/>
        </w:rPr>
        <w:t>. U toku je evaluacija koncept nota. Očekujemo pozitiv</w:t>
      </w:r>
      <w:r w:rsidR="00E20CBA">
        <w:rPr>
          <w:rFonts w:ascii="Arial" w:hAnsi="Arial" w:cs="Arial"/>
          <w:sz w:val="24"/>
          <w:szCs w:val="24"/>
        </w:rPr>
        <w:t>an odgovor. Potencijalna realizacija ovog zahtjev</w:t>
      </w:r>
      <w:r w:rsidR="007C334C">
        <w:rPr>
          <w:rFonts w:ascii="Arial" w:hAnsi="Arial" w:cs="Arial"/>
          <w:sz w:val="24"/>
          <w:szCs w:val="24"/>
        </w:rPr>
        <w:t>n</w:t>
      </w:r>
      <w:r w:rsidR="00E20CBA">
        <w:rPr>
          <w:rFonts w:ascii="Arial" w:hAnsi="Arial" w:cs="Arial"/>
          <w:sz w:val="24"/>
          <w:szCs w:val="24"/>
        </w:rPr>
        <w:t xml:space="preserve">og projekta bi dala poseban doprinos shvatanju pristupačnosti turističkim objektima u Crnoj Gori kao turističkoj destinaciji, </w:t>
      </w:r>
      <w:proofErr w:type="gramStart"/>
      <w:r w:rsidR="00E20CBA">
        <w:rPr>
          <w:rFonts w:ascii="Arial" w:hAnsi="Arial" w:cs="Arial"/>
          <w:sz w:val="24"/>
          <w:szCs w:val="24"/>
        </w:rPr>
        <w:t>sa</w:t>
      </w:r>
      <w:proofErr w:type="gramEnd"/>
      <w:r w:rsidR="00E20CBA">
        <w:rPr>
          <w:rFonts w:ascii="Arial" w:hAnsi="Arial" w:cs="Arial"/>
          <w:sz w:val="24"/>
          <w:szCs w:val="24"/>
        </w:rPr>
        <w:t xml:space="preserve"> jedne strane, kao i mogućnostima osoba sa invaliditetom u oblasti scenskog nastupa, sa druge strane. </w:t>
      </w:r>
    </w:p>
    <w:p w:rsidR="0015535B" w:rsidRDefault="006A48FC" w:rsidP="008332F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Iskustveno – edukativne grupe podrške na kojima </w:t>
      </w:r>
      <w:proofErr w:type="gramStart"/>
      <w:r>
        <w:rPr>
          <w:rFonts w:ascii="Arial" w:hAnsi="Arial" w:cs="Arial"/>
          <w:sz w:val="24"/>
          <w:szCs w:val="24"/>
        </w:rPr>
        <w:t>se  razmjenjuju</w:t>
      </w:r>
      <w:proofErr w:type="gramEnd"/>
      <w:r>
        <w:rPr>
          <w:rFonts w:ascii="Arial" w:hAnsi="Arial" w:cs="Arial"/>
          <w:sz w:val="24"/>
          <w:szCs w:val="24"/>
        </w:rPr>
        <w:t xml:space="preserve"> iskustva, a koje je koncipirao psiholog iz Dnevnog centra predstavljaju jedan od iskoraka naše ustanove na polju sveobuhvatnog pristupa problemima korisnika. Koncept kompleksnog pristupu korisnicima, kroz pristup njihovi</w:t>
      </w:r>
      <w:r w:rsidR="008332F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porodica</w:t>
      </w:r>
      <w:r w:rsidR="008332FF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 xml:space="preserve">, omogućava efikasnije rješavanje problema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kojim se ovi akteri susreću. Ove grupe su,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početnog ograničenog broja, sve masovnije.  </w:t>
      </w:r>
    </w:p>
    <w:p w:rsidR="00A40147" w:rsidRDefault="00A40147" w:rsidP="00A40147">
      <w:pPr>
        <w:jc w:val="both"/>
        <w:rPr>
          <w:rFonts w:ascii="Arial" w:hAnsi="Arial" w:cs="Arial"/>
          <w:sz w:val="24"/>
          <w:szCs w:val="24"/>
        </w:rPr>
      </w:pPr>
    </w:p>
    <w:p w:rsidR="00870FE2" w:rsidRDefault="00870FE2" w:rsidP="004F5F38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EDUKACIJE</w:t>
      </w:r>
    </w:p>
    <w:p w:rsidR="00353D4B" w:rsidRDefault="00870FE2" w:rsidP="004F5F38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Kontinuirana edukacija</w:t>
      </w:r>
      <w:r w:rsidR="00353D4B">
        <w:rPr>
          <w:rFonts w:ascii="Arial" w:hAnsi="Arial" w:cs="Arial"/>
          <w:sz w:val="24"/>
          <w:szCs w:val="24"/>
        </w:rPr>
        <w:t xml:space="preserve"> zaposlenih u Dnevnom centru, osnovni je preduslov za održanje i poboljšanje kvaliteta usluge u našoj ustanovi. U 2023. </w:t>
      </w:r>
      <w:proofErr w:type="gramStart"/>
      <w:r w:rsidR="00353D4B">
        <w:rPr>
          <w:rFonts w:ascii="Arial" w:hAnsi="Arial" w:cs="Arial"/>
          <w:sz w:val="24"/>
          <w:szCs w:val="24"/>
        </w:rPr>
        <w:t>godini</w:t>
      </w:r>
      <w:proofErr w:type="gramEnd"/>
      <w:r w:rsidR="00353D4B">
        <w:rPr>
          <w:rFonts w:ascii="Arial" w:hAnsi="Arial" w:cs="Arial"/>
          <w:sz w:val="24"/>
          <w:szCs w:val="24"/>
        </w:rPr>
        <w:t xml:space="preserve">, stručni radnici Dnevnog centra su realizovali veliki broj edukativnih programa, akreditovanih od </w:t>
      </w:r>
      <w:r w:rsidR="00353D4B">
        <w:rPr>
          <w:rFonts w:ascii="Arial" w:hAnsi="Arial" w:cs="Arial"/>
          <w:sz w:val="24"/>
          <w:szCs w:val="24"/>
        </w:rPr>
        <w:lastRenderedPageBreak/>
        <w:t>strane Zavoda za socijalnu i dječju zaštitu Crne Gore, i na taj način, osim profesionalnih, stekli i normativne uslove za produženje licenci za rad u socijalnoj i dječijoj zaštiti.</w:t>
      </w:r>
    </w:p>
    <w:p w:rsidR="00353D4B" w:rsidRDefault="00353D4B" w:rsidP="00353D4B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 finansijsku podrš</w:t>
      </w:r>
      <w:r w:rsidR="00353C27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u </w:t>
      </w:r>
      <w:r w:rsidR="008332F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okalne samouprave, stručni </w:t>
      </w:r>
      <w:proofErr w:type="gramStart"/>
      <w:r>
        <w:rPr>
          <w:rFonts w:ascii="Arial" w:hAnsi="Arial" w:cs="Arial"/>
          <w:sz w:val="24"/>
          <w:szCs w:val="24"/>
        </w:rPr>
        <w:t>tim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F58BF">
        <w:rPr>
          <w:rFonts w:ascii="Arial" w:hAnsi="Arial" w:cs="Arial"/>
          <w:sz w:val="24"/>
          <w:szCs w:val="24"/>
        </w:rPr>
        <w:t>ustanove</w:t>
      </w:r>
      <w:r>
        <w:rPr>
          <w:rFonts w:ascii="Arial" w:hAnsi="Arial" w:cs="Arial"/>
          <w:sz w:val="24"/>
          <w:szCs w:val="24"/>
        </w:rPr>
        <w:t xml:space="preserve"> je i ove godine učestvovao na Danima defektologa, regionalnom kongresu, na koje</w:t>
      </w:r>
      <w:r w:rsidR="00870FE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se razmjenjuju znanja i iskustva iz naše djelatnosti. Po prvi put, stručni tim Dnevnog centra je nastupio sa stručnim radom</w:t>
      </w:r>
      <w:proofErr w:type="gramStart"/>
      <w:r>
        <w:rPr>
          <w:rFonts w:ascii="Arial" w:hAnsi="Arial" w:cs="Arial"/>
          <w:sz w:val="24"/>
          <w:szCs w:val="24"/>
        </w:rPr>
        <w:t xml:space="preserve">, </w:t>
      </w:r>
      <w:r w:rsidR="00353C27">
        <w:rPr>
          <w:rFonts w:ascii="Arial" w:hAnsi="Arial" w:cs="Arial"/>
          <w:sz w:val="24"/>
          <w:szCs w:val="24"/>
        </w:rPr>
        <w:t xml:space="preserve"> "</w:t>
      </w:r>
      <w:proofErr w:type="gramEnd"/>
      <w:r w:rsidR="00353C27">
        <w:rPr>
          <w:rFonts w:ascii="Arial" w:hAnsi="Arial" w:cs="Arial"/>
          <w:sz w:val="24"/>
          <w:szCs w:val="24"/>
        </w:rPr>
        <w:t>Socijalni model rada u Dnevno</w:t>
      </w:r>
      <w:r w:rsidR="007C334C">
        <w:rPr>
          <w:rFonts w:ascii="Arial" w:hAnsi="Arial" w:cs="Arial"/>
          <w:sz w:val="24"/>
          <w:szCs w:val="24"/>
        </w:rPr>
        <w:t>m centru".</w:t>
      </w:r>
    </w:p>
    <w:p w:rsidR="002F58BF" w:rsidRDefault="002F58BF" w:rsidP="002F58B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 finansijsku pomoć danske fondacije</w:t>
      </w:r>
      <w:r w:rsidR="008A3AE0">
        <w:rPr>
          <w:rFonts w:ascii="Arial" w:hAnsi="Arial" w:cs="Arial"/>
          <w:sz w:val="24"/>
          <w:szCs w:val="24"/>
        </w:rPr>
        <w:t xml:space="preserve"> Margit Nilsen</w:t>
      </w:r>
      <w:r>
        <w:rPr>
          <w:rFonts w:ascii="Arial" w:hAnsi="Arial" w:cs="Arial"/>
          <w:sz w:val="24"/>
          <w:szCs w:val="24"/>
        </w:rPr>
        <w:t xml:space="preserve">, dogovorena je edukacija iz ABA metode, pod vođstvom eksperta Ree Vuksan za sredinu januara 2024. </w:t>
      </w:r>
      <w:proofErr w:type="gramStart"/>
      <w:r>
        <w:rPr>
          <w:rFonts w:ascii="Arial" w:hAnsi="Arial" w:cs="Arial"/>
          <w:sz w:val="24"/>
          <w:szCs w:val="24"/>
        </w:rPr>
        <w:t>godine</w:t>
      </w:r>
      <w:proofErr w:type="gramEnd"/>
      <w:r>
        <w:rPr>
          <w:rFonts w:ascii="Arial" w:hAnsi="Arial" w:cs="Arial"/>
          <w:sz w:val="24"/>
          <w:szCs w:val="24"/>
        </w:rPr>
        <w:t xml:space="preserve">. Ovo je početak veoma značajne saradnje, koja treba da osnaži naše kadrove za rad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osobama iz autističnog spektra. Iako je u pitanju 2024. </w:t>
      </w:r>
      <w:proofErr w:type="gramStart"/>
      <w:r>
        <w:rPr>
          <w:rFonts w:ascii="Arial" w:hAnsi="Arial" w:cs="Arial"/>
          <w:sz w:val="24"/>
          <w:szCs w:val="24"/>
        </w:rPr>
        <w:t>godina</w:t>
      </w:r>
      <w:proofErr w:type="gramEnd"/>
      <w:r>
        <w:rPr>
          <w:rFonts w:ascii="Arial" w:hAnsi="Arial" w:cs="Arial"/>
          <w:sz w:val="24"/>
          <w:szCs w:val="24"/>
        </w:rPr>
        <w:t xml:space="preserve">, napomenućemo da je edukacija realizovana prije završetka izrade ovoga izvještaja, zbog značaja strategije stvaranja kadrovskih i prostornih uslova za rad sa osobama iz autističnog spektra. </w:t>
      </w:r>
      <w:r w:rsidR="00A42627">
        <w:rPr>
          <w:rFonts w:ascii="Arial" w:hAnsi="Arial" w:cs="Arial"/>
          <w:sz w:val="24"/>
          <w:szCs w:val="24"/>
        </w:rPr>
        <w:t>Edukaciju smo organizovali ne samo za zaposlene u Dnevnom centru, već i za ostale za</w:t>
      </w:r>
      <w:r w:rsidR="007C334C">
        <w:rPr>
          <w:rFonts w:ascii="Arial" w:hAnsi="Arial" w:cs="Arial"/>
          <w:sz w:val="24"/>
          <w:szCs w:val="24"/>
        </w:rPr>
        <w:t>i</w:t>
      </w:r>
      <w:r w:rsidR="00A42627">
        <w:rPr>
          <w:rFonts w:ascii="Arial" w:hAnsi="Arial" w:cs="Arial"/>
          <w:sz w:val="24"/>
          <w:szCs w:val="24"/>
        </w:rPr>
        <w:t xml:space="preserve">nteresovane subjekte, kao što su članovi porodica osoba </w:t>
      </w:r>
      <w:proofErr w:type="gramStart"/>
      <w:r w:rsidR="00A42627">
        <w:rPr>
          <w:rFonts w:ascii="Arial" w:hAnsi="Arial" w:cs="Arial"/>
          <w:sz w:val="24"/>
          <w:szCs w:val="24"/>
        </w:rPr>
        <w:t>sa</w:t>
      </w:r>
      <w:proofErr w:type="gramEnd"/>
      <w:r w:rsidR="00A42627">
        <w:rPr>
          <w:rFonts w:ascii="Arial" w:hAnsi="Arial" w:cs="Arial"/>
          <w:sz w:val="24"/>
          <w:szCs w:val="24"/>
        </w:rPr>
        <w:t xml:space="preserve"> autističnim spektrom i stručna lica koja nijesu angažovana u ustanovi. O pomenutoj strategiji </w:t>
      </w:r>
      <w:proofErr w:type="gramStart"/>
      <w:r w:rsidR="00A42627">
        <w:rPr>
          <w:rFonts w:ascii="Arial" w:hAnsi="Arial" w:cs="Arial"/>
          <w:sz w:val="24"/>
          <w:szCs w:val="24"/>
        </w:rPr>
        <w:t>će</w:t>
      </w:r>
      <w:proofErr w:type="gramEnd"/>
      <w:r w:rsidR="00A42627">
        <w:rPr>
          <w:rFonts w:ascii="Arial" w:hAnsi="Arial" w:cs="Arial"/>
          <w:sz w:val="24"/>
          <w:szCs w:val="24"/>
        </w:rPr>
        <w:t xml:space="preserve"> biti više riječi u nastavku izvještaja.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0CBA" w:rsidRDefault="00E20CBA" w:rsidP="002F58B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</w:t>
      </w:r>
    </w:p>
    <w:p w:rsidR="00E20CBA" w:rsidRDefault="00E20CBA" w:rsidP="00E20CBA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Okupacija sportom i učešće u radu Sportskog kluba "Specijalna Olimpijada Nikšić" čini jedinstvenim nikšićki Dnevni centar u okviru mreže dnevnih centara u Crnoj Gori.  Konceptu Specijalne Olimpijade u segmentu okupacije sportom u radu Dnevnog centra ima značajan </w:t>
      </w:r>
      <w:r w:rsidR="00613958">
        <w:rPr>
          <w:rFonts w:ascii="Arial" w:hAnsi="Arial" w:cs="Arial"/>
          <w:sz w:val="24"/>
          <w:szCs w:val="24"/>
        </w:rPr>
        <w:t xml:space="preserve">pozitivan </w:t>
      </w:r>
      <w:r>
        <w:rPr>
          <w:rFonts w:ascii="Arial" w:hAnsi="Arial" w:cs="Arial"/>
          <w:sz w:val="24"/>
          <w:szCs w:val="24"/>
        </w:rPr>
        <w:t xml:space="preserve">uticaj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psiho</w:t>
      </w:r>
      <w:r w:rsidR="00613958">
        <w:rPr>
          <w:rFonts w:ascii="Arial" w:hAnsi="Arial" w:cs="Arial"/>
          <w:sz w:val="24"/>
          <w:szCs w:val="24"/>
        </w:rPr>
        <w:t xml:space="preserve">fizičko stanje naših korisnika. U sklopu ovog koncepta, naši korisnici koriste sale i Olimpijski bazen Sportskog centra Nikšić. U prethodnoj godini, u organizaciji kluba "Specijalna olimpijada" Nikšić, kojeg su osnovali zaposleni u Dnevnom centru, u saradnji </w:t>
      </w:r>
      <w:proofErr w:type="gramStart"/>
      <w:r w:rsidR="00613958">
        <w:rPr>
          <w:rFonts w:ascii="Arial" w:hAnsi="Arial" w:cs="Arial"/>
          <w:sz w:val="24"/>
          <w:szCs w:val="24"/>
        </w:rPr>
        <w:t>sa</w:t>
      </w:r>
      <w:proofErr w:type="gramEnd"/>
      <w:r w:rsidR="00613958">
        <w:rPr>
          <w:rFonts w:ascii="Arial" w:hAnsi="Arial" w:cs="Arial"/>
          <w:sz w:val="24"/>
          <w:szCs w:val="24"/>
        </w:rPr>
        <w:t xml:space="preserve"> Specij</w:t>
      </w:r>
      <w:r w:rsidR="007C334C">
        <w:rPr>
          <w:rFonts w:ascii="Arial" w:hAnsi="Arial" w:cs="Arial"/>
          <w:sz w:val="24"/>
          <w:szCs w:val="24"/>
        </w:rPr>
        <w:t>a</w:t>
      </w:r>
      <w:r w:rsidR="00613958">
        <w:rPr>
          <w:rFonts w:ascii="Arial" w:hAnsi="Arial" w:cs="Arial"/>
          <w:sz w:val="24"/>
          <w:szCs w:val="24"/>
        </w:rPr>
        <w:t xml:space="preserve">lnom </w:t>
      </w:r>
      <w:r w:rsidR="007C334C">
        <w:rPr>
          <w:rFonts w:ascii="Arial" w:hAnsi="Arial" w:cs="Arial"/>
          <w:sz w:val="24"/>
          <w:szCs w:val="24"/>
        </w:rPr>
        <w:t>O</w:t>
      </w:r>
      <w:r w:rsidR="00613958">
        <w:rPr>
          <w:rFonts w:ascii="Arial" w:hAnsi="Arial" w:cs="Arial"/>
          <w:sz w:val="24"/>
          <w:szCs w:val="24"/>
        </w:rPr>
        <w:t>limpijadom Crne Gore, održane su nacionalne igre Specijalne Olimpijade, sva državna takmičenja u atletici i državno takmičenje u fudbalu.</w:t>
      </w:r>
      <w:r>
        <w:rPr>
          <w:rFonts w:ascii="Arial" w:hAnsi="Arial" w:cs="Arial"/>
          <w:sz w:val="24"/>
          <w:szCs w:val="24"/>
        </w:rPr>
        <w:t xml:space="preserve"> </w:t>
      </w:r>
      <w:r w:rsidR="0061395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rganizacija lokalnih i državnih takmičenja imaju pozitivne efekte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korisnike kako na planu fizičkog i psihičkog stanja, tako i na planu inkluzije naših korisnika. </w:t>
      </w:r>
      <w:r w:rsidR="006A48FC">
        <w:rPr>
          <w:rFonts w:ascii="Arial" w:hAnsi="Arial" w:cs="Arial"/>
          <w:sz w:val="24"/>
          <w:szCs w:val="24"/>
        </w:rPr>
        <w:t xml:space="preserve">Dobar rad </w:t>
      </w:r>
      <w:proofErr w:type="gramStart"/>
      <w:r w:rsidR="006A48FC">
        <w:rPr>
          <w:rFonts w:ascii="Arial" w:hAnsi="Arial" w:cs="Arial"/>
          <w:sz w:val="24"/>
          <w:szCs w:val="24"/>
        </w:rPr>
        <w:t>na</w:t>
      </w:r>
      <w:proofErr w:type="gramEnd"/>
      <w:r w:rsidR="006A48FC">
        <w:rPr>
          <w:rFonts w:ascii="Arial" w:hAnsi="Arial" w:cs="Arial"/>
          <w:sz w:val="24"/>
          <w:szCs w:val="24"/>
        </w:rPr>
        <w:t xml:space="preserve"> ovom polju, rezultirao je učešćem naših takmičara na svjetskom takmičenju Specijalne Olimpijade u Berlinu.</w:t>
      </w:r>
    </w:p>
    <w:p w:rsidR="00B97CDA" w:rsidRDefault="00B97CDA" w:rsidP="002F58B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OSTALE AKTIVNOSTI</w:t>
      </w:r>
    </w:p>
    <w:p w:rsidR="003C260B" w:rsidRDefault="00B97CDA" w:rsidP="002F58B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Dnevni centar poklanja posebnu pažnju aktivnostima koje nijesu definisane osnivačkim aktima ustanove, a imaju direktan uticaj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kvalitet života kako korisnika i njihovih porodica, tako i, indirektno, na ostale osobe sa invaliditetom. Povećanje stepena inkluzije lica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invaliditetom u društvene tokove, smatramo najvećim dometom na polju kvaliteta njihovog života. </w:t>
      </w:r>
      <w:r w:rsidR="003C260B">
        <w:rPr>
          <w:rFonts w:ascii="Arial" w:hAnsi="Arial" w:cs="Arial"/>
          <w:sz w:val="24"/>
          <w:szCs w:val="24"/>
        </w:rPr>
        <w:t xml:space="preserve">Iz godine u godinu, trudimo se da oranizujemo </w:t>
      </w:r>
      <w:proofErr w:type="gramStart"/>
      <w:r w:rsidR="003C260B">
        <w:rPr>
          <w:rFonts w:ascii="Arial" w:hAnsi="Arial" w:cs="Arial"/>
          <w:sz w:val="24"/>
          <w:szCs w:val="24"/>
        </w:rPr>
        <w:t>ili</w:t>
      </w:r>
      <w:proofErr w:type="gramEnd"/>
      <w:r w:rsidR="003C260B">
        <w:rPr>
          <w:rFonts w:ascii="Arial" w:hAnsi="Arial" w:cs="Arial"/>
          <w:sz w:val="24"/>
          <w:szCs w:val="24"/>
        </w:rPr>
        <w:t xml:space="preserve"> da učestvujemo na što više događaja koji imaju ovakav karakter. </w:t>
      </w:r>
    </w:p>
    <w:p w:rsidR="004F502B" w:rsidRDefault="003C260B" w:rsidP="002F58B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Tradicionalna manifestacija "Naš plavi dan", koja predstavlja podršku osobama iz autističnog spektra, ove godine je, u organizaciji ustanove</w:t>
      </w:r>
      <w:proofErr w:type="gramStart"/>
      <w:r>
        <w:rPr>
          <w:rFonts w:ascii="Arial" w:hAnsi="Arial" w:cs="Arial"/>
          <w:sz w:val="24"/>
          <w:szCs w:val="24"/>
        </w:rPr>
        <w:t>,  održana</w:t>
      </w:r>
      <w:proofErr w:type="gramEnd"/>
      <w:r>
        <w:rPr>
          <w:rFonts w:ascii="Arial" w:hAnsi="Arial" w:cs="Arial"/>
          <w:sz w:val="24"/>
          <w:szCs w:val="24"/>
        </w:rPr>
        <w:t xml:space="preserve"> na stadionu FK "Čelik". Raduje nas činjenica da je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manifestaciji učestvovao veliki broj ljudi iz društvenog i političkog života lokalne zajednice,</w:t>
      </w:r>
      <w:r w:rsidR="004F502B">
        <w:rPr>
          <w:rFonts w:ascii="Arial" w:hAnsi="Arial" w:cs="Arial"/>
          <w:sz w:val="24"/>
          <w:szCs w:val="24"/>
        </w:rPr>
        <w:t xml:space="preserve"> što</w:t>
      </w:r>
      <w:r w:rsidR="007C334C">
        <w:rPr>
          <w:rFonts w:ascii="Arial" w:hAnsi="Arial" w:cs="Arial"/>
          <w:sz w:val="24"/>
          <w:szCs w:val="24"/>
        </w:rPr>
        <w:t xml:space="preserve"> ukazuje na kontinuiran rast in</w:t>
      </w:r>
      <w:r w:rsidR="004F502B">
        <w:rPr>
          <w:rFonts w:ascii="Arial" w:hAnsi="Arial" w:cs="Arial"/>
          <w:sz w:val="24"/>
          <w:szCs w:val="24"/>
        </w:rPr>
        <w:t xml:space="preserve">teresovanja društvene zajednice za položaj osoba sa invaliditetom. U sklopu obilježavanja Svjetskog </w:t>
      </w:r>
      <w:proofErr w:type="gramStart"/>
      <w:r w:rsidR="004F502B">
        <w:rPr>
          <w:rFonts w:ascii="Arial" w:hAnsi="Arial" w:cs="Arial"/>
          <w:sz w:val="24"/>
          <w:szCs w:val="24"/>
        </w:rPr>
        <w:t>dana</w:t>
      </w:r>
      <w:proofErr w:type="gramEnd"/>
      <w:r w:rsidR="004F502B">
        <w:rPr>
          <w:rFonts w:ascii="Arial" w:hAnsi="Arial" w:cs="Arial"/>
          <w:sz w:val="24"/>
          <w:szCs w:val="24"/>
        </w:rPr>
        <w:t xml:space="preserve"> osoba sa autizmom, dio naših korisnika, zajedno sa </w:t>
      </w:r>
      <w:r w:rsidR="004F502B">
        <w:rPr>
          <w:rFonts w:ascii="Arial" w:hAnsi="Arial" w:cs="Arial"/>
          <w:sz w:val="24"/>
          <w:szCs w:val="24"/>
        </w:rPr>
        <w:lastRenderedPageBreak/>
        <w:t xml:space="preserve">stručnim licima, učestvovalo je sa tačkom "Hero" na minifestaciji "Pričam ti priču". Izvođenje popularne muzičke numere </w:t>
      </w:r>
      <w:proofErr w:type="gramStart"/>
      <w:r w:rsidR="004F502B">
        <w:rPr>
          <w:rFonts w:ascii="Arial" w:hAnsi="Arial" w:cs="Arial"/>
          <w:sz w:val="24"/>
          <w:szCs w:val="24"/>
        </w:rPr>
        <w:t>na</w:t>
      </w:r>
      <w:proofErr w:type="gramEnd"/>
      <w:r w:rsidR="004F502B">
        <w:rPr>
          <w:rFonts w:ascii="Arial" w:hAnsi="Arial" w:cs="Arial"/>
          <w:sz w:val="24"/>
          <w:szCs w:val="24"/>
        </w:rPr>
        <w:t xml:space="preserve"> engleskom jeziku, nagrađeno je ovacijama na Trgu slobode u Podgorici. </w:t>
      </w:r>
    </w:p>
    <w:p w:rsidR="008A0206" w:rsidRDefault="004F502B" w:rsidP="002F58B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okviru obilježavanja Svjetskog </w:t>
      </w:r>
      <w:proofErr w:type="gramStart"/>
      <w:r>
        <w:rPr>
          <w:rFonts w:ascii="Arial" w:hAnsi="Arial" w:cs="Arial"/>
          <w:sz w:val="24"/>
          <w:szCs w:val="24"/>
        </w:rPr>
        <w:t>dana</w:t>
      </w:r>
      <w:proofErr w:type="gramEnd"/>
      <w:r>
        <w:rPr>
          <w:rFonts w:ascii="Arial" w:hAnsi="Arial" w:cs="Arial"/>
          <w:sz w:val="24"/>
          <w:szCs w:val="24"/>
        </w:rPr>
        <w:t xml:space="preserve"> osoba sa autizmo</w:t>
      </w:r>
      <w:r w:rsidR="008A020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, naša ustanova je </w:t>
      </w:r>
      <w:r w:rsidR="008A0206">
        <w:rPr>
          <w:rFonts w:ascii="Arial" w:hAnsi="Arial" w:cs="Arial"/>
          <w:sz w:val="24"/>
          <w:szCs w:val="24"/>
        </w:rPr>
        <w:t>organizovala i panel diskusiju "Živjeti sa autizmom". Tom prilikom su p</w:t>
      </w:r>
      <w:r w:rsidR="007C334C">
        <w:rPr>
          <w:rFonts w:ascii="Arial" w:hAnsi="Arial" w:cs="Arial"/>
          <w:sz w:val="24"/>
          <w:szCs w:val="24"/>
        </w:rPr>
        <w:t>r</w:t>
      </w:r>
      <w:r w:rsidR="008A0206">
        <w:rPr>
          <w:rFonts w:ascii="Arial" w:hAnsi="Arial" w:cs="Arial"/>
          <w:sz w:val="24"/>
          <w:szCs w:val="24"/>
        </w:rPr>
        <w:t xml:space="preserve">ezentirani različiti uglovi u pristupu ovom problemu, </w:t>
      </w:r>
      <w:proofErr w:type="gramStart"/>
      <w:r w:rsidR="008A0206">
        <w:rPr>
          <w:rFonts w:ascii="Arial" w:hAnsi="Arial" w:cs="Arial"/>
          <w:sz w:val="24"/>
          <w:szCs w:val="24"/>
        </w:rPr>
        <w:t>od</w:t>
      </w:r>
      <w:proofErr w:type="gramEnd"/>
      <w:r w:rsidR="008A0206">
        <w:rPr>
          <w:rFonts w:ascii="Arial" w:hAnsi="Arial" w:cs="Arial"/>
          <w:sz w:val="24"/>
          <w:szCs w:val="24"/>
        </w:rPr>
        <w:t xml:space="preserve"> strane stručnjaka, roditelja i lokalne uprave. Ova panel diskusija je bila jedna </w:t>
      </w:r>
      <w:proofErr w:type="gramStart"/>
      <w:r w:rsidR="008A0206">
        <w:rPr>
          <w:rFonts w:ascii="Arial" w:hAnsi="Arial" w:cs="Arial"/>
          <w:sz w:val="24"/>
          <w:szCs w:val="24"/>
        </w:rPr>
        <w:t>od</w:t>
      </w:r>
      <w:proofErr w:type="gramEnd"/>
      <w:r w:rsidR="008A0206">
        <w:rPr>
          <w:rFonts w:ascii="Arial" w:hAnsi="Arial" w:cs="Arial"/>
          <w:sz w:val="24"/>
          <w:szCs w:val="24"/>
        </w:rPr>
        <w:t xml:space="preserve"> pripremnih aktivnosti na polju strateškog definisanja koncepta odgovora naše lokalne zajednice na trendove iz oblasti autizma, mapiranjem potreba i mogućnosti na lokalnom nivou.</w:t>
      </w:r>
    </w:p>
    <w:p w:rsidR="004F502B" w:rsidRDefault="008A0206" w:rsidP="002F58B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Osmi mart, međunarodni dan žena, obilježili smo, između ostalog, akcijom </w:t>
      </w:r>
      <w:r w:rsidR="0093134D">
        <w:rPr>
          <w:rFonts w:ascii="Arial" w:hAnsi="Arial" w:cs="Arial"/>
          <w:sz w:val="24"/>
          <w:szCs w:val="24"/>
        </w:rPr>
        <w:t xml:space="preserve">izrade i </w:t>
      </w:r>
      <w:r>
        <w:rPr>
          <w:rFonts w:ascii="Arial" w:hAnsi="Arial" w:cs="Arial"/>
          <w:sz w:val="24"/>
          <w:szCs w:val="24"/>
        </w:rPr>
        <w:t xml:space="preserve">uručenja poklona, </w:t>
      </w:r>
      <w:proofErr w:type="gramStart"/>
      <w:r w:rsidR="0093134D">
        <w:rPr>
          <w:rFonts w:ascii="Arial" w:hAnsi="Arial" w:cs="Arial"/>
          <w:sz w:val="24"/>
          <w:szCs w:val="24"/>
        </w:rPr>
        <w:t>od</w:t>
      </w:r>
      <w:proofErr w:type="gramEnd"/>
      <w:r w:rsidR="0093134D">
        <w:rPr>
          <w:rFonts w:ascii="Arial" w:hAnsi="Arial" w:cs="Arial"/>
          <w:sz w:val="24"/>
          <w:szCs w:val="24"/>
        </w:rPr>
        <w:t xml:space="preserve"> strane naših korisnika i stručnih lica, </w:t>
      </w:r>
      <w:r w:rsidR="008A3AE0">
        <w:rPr>
          <w:rFonts w:ascii="Arial" w:hAnsi="Arial" w:cs="Arial"/>
          <w:sz w:val="24"/>
          <w:szCs w:val="24"/>
        </w:rPr>
        <w:t>socijalno ugroženim ženama geronto statusa</w:t>
      </w:r>
      <w:r w:rsidR="0093134D">
        <w:rPr>
          <w:rFonts w:ascii="Arial" w:hAnsi="Arial" w:cs="Arial"/>
          <w:sz w:val="24"/>
          <w:szCs w:val="24"/>
        </w:rPr>
        <w:t>.</w:t>
      </w:r>
    </w:p>
    <w:p w:rsidR="0093134D" w:rsidRDefault="0093134D" w:rsidP="002F58B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Međunarodni dan osoba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Daunovim sindromom, obilježili smo kulturno umjetničkim programom i izložbom radova "Sunčani grad", na sceni 213, uz učešće velikog broja korisnika usluga naše ustanove.</w:t>
      </w:r>
    </w:p>
    <w:p w:rsidR="00B87AC0" w:rsidRDefault="0093134D" w:rsidP="002F58B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sklopu Međunarodnog </w:t>
      </w:r>
      <w:proofErr w:type="gramStart"/>
      <w:r>
        <w:rPr>
          <w:rFonts w:ascii="Arial" w:hAnsi="Arial" w:cs="Arial"/>
          <w:sz w:val="24"/>
          <w:szCs w:val="24"/>
        </w:rPr>
        <w:t>dana</w:t>
      </w:r>
      <w:proofErr w:type="gramEnd"/>
      <w:r>
        <w:rPr>
          <w:rFonts w:ascii="Arial" w:hAnsi="Arial" w:cs="Arial"/>
          <w:sz w:val="24"/>
          <w:szCs w:val="24"/>
        </w:rPr>
        <w:t xml:space="preserve"> osoba sa invaliditetom izveli smo kulturno umjetnički program "Otvori mi prozore" i na taj način, društvenoj zajednici i nama samima, pokazali kako se pomjeraju granice spoznaje mogućnosti </w:t>
      </w:r>
      <w:r w:rsidR="00B87AC0">
        <w:rPr>
          <w:rFonts w:ascii="Arial" w:hAnsi="Arial" w:cs="Arial"/>
          <w:sz w:val="24"/>
          <w:szCs w:val="24"/>
        </w:rPr>
        <w:t xml:space="preserve">naših korisnika, kao i zaposlenih u Dnevnom centru. Ovakve manifestacije i njihova vidljivost </w:t>
      </w:r>
      <w:proofErr w:type="gramStart"/>
      <w:r w:rsidR="00B87AC0">
        <w:rPr>
          <w:rFonts w:ascii="Arial" w:hAnsi="Arial" w:cs="Arial"/>
          <w:sz w:val="24"/>
          <w:szCs w:val="24"/>
        </w:rPr>
        <w:t>na</w:t>
      </w:r>
      <w:proofErr w:type="gramEnd"/>
      <w:r w:rsidR="00B87AC0">
        <w:rPr>
          <w:rFonts w:ascii="Arial" w:hAnsi="Arial" w:cs="Arial"/>
          <w:sz w:val="24"/>
          <w:szCs w:val="24"/>
        </w:rPr>
        <w:t xml:space="preserve"> poseban način utiču na poboljšanje uključenosti osoba sa invaliditetom u društvene tokove.</w:t>
      </w:r>
    </w:p>
    <w:p w:rsidR="006A48FC" w:rsidRDefault="0023461A" w:rsidP="002F58B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Senzibilitet lokalne samouprave za položaj naših korisnika</w:t>
      </w:r>
      <w:r w:rsidR="00EF4DAC">
        <w:rPr>
          <w:rFonts w:ascii="Arial" w:hAnsi="Arial" w:cs="Arial"/>
          <w:sz w:val="24"/>
          <w:szCs w:val="24"/>
        </w:rPr>
        <w:t xml:space="preserve"> i njihovih </w:t>
      </w:r>
      <w:proofErr w:type="gramStart"/>
      <w:r w:rsidR="00EF4DAC">
        <w:rPr>
          <w:rFonts w:ascii="Arial" w:hAnsi="Arial" w:cs="Arial"/>
          <w:sz w:val="24"/>
          <w:szCs w:val="24"/>
        </w:rPr>
        <w:t xml:space="preserve">porodica </w:t>
      </w:r>
      <w:r>
        <w:rPr>
          <w:rFonts w:ascii="Arial" w:hAnsi="Arial" w:cs="Arial"/>
          <w:sz w:val="24"/>
          <w:szCs w:val="24"/>
        </w:rPr>
        <w:t xml:space="preserve"> i</w:t>
      </w:r>
      <w:proofErr w:type="gramEnd"/>
      <w:r>
        <w:rPr>
          <w:rFonts w:ascii="Arial" w:hAnsi="Arial" w:cs="Arial"/>
          <w:sz w:val="24"/>
          <w:szCs w:val="24"/>
        </w:rPr>
        <w:t xml:space="preserve"> ove godine je rezultiralo realizacijom događaja – ljetovanja na crnogorskom primorju, </w:t>
      </w:r>
      <w:r w:rsidR="00EF4DAC">
        <w:rPr>
          <w:rFonts w:ascii="Arial" w:hAnsi="Arial" w:cs="Arial"/>
          <w:sz w:val="24"/>
          <w:szCs w:val="24"/>
        </w:rPr>
        <w:t xml:space="preserve">u dva navrata, kao i jednodnevnim izletom na Vučje. Osim toga, kao i svake godine, u organizaciji Ministarstva rada i socijalnog staranja, naši korisnici, zajedno </w:t>
      </w:r>
      <w:proofErr w:type="gramStart"/>
      <w:r w:rsidR="00EF4DAC">
        <w:rPr>
          <w:rFonts w:ascii="Arial" w:hAnsi="Arial" w:cs="Arial"/>
          <w:sz w:val="24"/>
          <w:szCs w:val="24"/>
        </w:rPr>
        <w:t>sa</w:t>
      </w:r>
      <w:proofErr w:type="gramEnd"/>
      <w:r w:rsidR="00EF4DAC">
        <w:rPr>
          <w:rFonts w:ascii="Arial" w:hAnsi="Arial" w:cs="Arial"/>
          <w:sz w:val="24"/>
          <w:szCs w:val="24"/>
        </w:rPr>
        <w:t xml:space="preserve"> roditeljima, uživali su u s</w:t>
      </w:r>
      <w:r w:rsidR="009C244E">
        <w:rPr>
          <w:rFonts w:ascii="Arial" w:hAnsi="Arial" w:cs="Arial"/>
          <w:sz w:val="24"/>
          <w:szCs w:val="24"/>
        </w:rPr>
        <w:t>e</w:t>
      </w:r>
      <w:r w:rsidR="00EF4DAC">
        <w:rPr>
          <w:rFonts w:ascii="Arial" w:hAnsi="Arial" w:cs="Arial"/>
          <w:sz w:val="24"/>
          <w:szCs w:val="24"/>
        </w:rPr>
        <w:t>dmodnevnom ljetovanju u Rafailovićima.</w:t>
      </w:r>
    </w:p>
    <w:p w:rsidR="006A48FC" w:rsidRDefault="006A48FC" w:rsidP="002F58B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Zahvaljući sredstvima donatora, organizovali smo tradicionalni izlet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ručkom na "Manitovcu", kao i veliki Novogodišnji bal na kojem su učestvovali korisnici, članovi njihovih porodica, zaposleni i donatori.</w:t>
      </w:r>
    </w:p>
    <w:p w:rsidR="006A48FC" w:rsidRDefault="006A48FC" w:rsidP="006A48FC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 2023. </w:t>
      </w:r>
      <w:proofErr w:type="gramStart"/>
      <w:r>
        <w:rPr>
          <w:rFonts w:ascii="Arial" w:hAnsi="Arial" w:cs="Arial"/>
          <w:sz w:val="24"/>
          <w:szCs w:val="24"/>
        </w:rPr>
        <w:t>godini</w:t>
      </w:r>
      <w:proofErr w:type="gramEnd"/>
      <w:r>
        <w:rPr>
          <w:rFonts w:ascii="Arial" w:hAnsi="Arial" w:cs="Arial"/>
          <w:sz w:val="24"/>
          <w:szCs w:val="24"/>
        </w:rPr>
        <w:t xml:space="preserve">, nastavljen je pozitivan odnos društvenih i privrednih aktera prema Dnevnom centru. Naši korisnici su u prilici da besplatno koriste usluge konjičkog kluba "Budućnost" </w:t>
      </w:r>
      <w:proofErr w:type="gramStart"/>
      <w:r>
        <w:rPr>
          <w:rFonts w:ascii="Arial" w:hAnsi="Arial" w:cs="Arial"/>
          <w:sz w:val="24"/>
          <w:szCs w:val="24"/>
        </w:rPr>
        <w:t>i  nikšićkog</w:t>
      </w:r>
      <w:proofErr w:type="gramEnd"/>
      <w:r>
        <w:rPr>
          <w:rFonts w:ascii="Arial" w:hAnsi="Arial" w:cs="Arial"/>
          <w:sz w:val="24"/>
          <w:szCs w:val="24"/>
        </w:rPr>
        <w:t xml:space="preserve"> kluba "City fitnes". </w:t>
      </w:r>
    </w:p>
    <w:p w:rsidR="006A48FC" w:rsidRDefault="006A48FC" w:rsidP="006A48FC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Donatorski turnir političkih stranaka Nikšića, dobija karakter tradicionalnog, jer je i ove godine održan, kao simbol zajedništva političkih aktera lokalne zajednice u odnosu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našu ustanovu.     </w:t>
      </w:r>
    </w:p>
    <w:p w:rsidR="00C938D8" w:rsidRDefault="00B87AC0" w:rsidP="002F58B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prethodnih trinaest godina, koliko postoji Dnevni centar, značajno se mijenjao odnos društvene zajednice prema ustanovi i prema osobama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invaliditetom u našoj opšti</w:t>
      </w:r>
      <w:r w:rsidR="009C244E"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</w:rPr>
        <w:t xml:space="preserve">. Takođe, mijenjao se i senzibilitet zaposlenih u ustanovi, iako je rad u njoj </w:t>
      </w:r>
      <w:proofErr w:type="gramStart"/>
      <w:r>
        <w:rPr>
          <w:rFonts w:ascii="Arial" w:hAnsi="Arial" w:cs="Arial"/>
          <w:sz w:val="24"/>
          <w:szCs w:val="24"/>
        </w:rPr>
        <w:t>oduvjek  bio</w:t>
      </w:r>
      <w:proofErr w:type="gramEnd"/>
      <w:r>
        <w:rPr>
          <w:rFonts w:ascii="Arial" w:hAnsi="Arial" w:cs="Arial"/>
          <w:sz w:val="24"/>
          <w:szCs w:val="24"/>
        </w:rPr>
        <w:t xml:space="preserve"> omeđen pravilima struke, statutarnim i zakonskim zahtjevima. Zaposleni u ustanovi su imali potrebu da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širom društvenom javnošću podijele emocije</w:t>
      </w:r>
      <w:r w:rsidR="0023461A">
        <w:rPr>
          <w:rFonts w:ascii="Arial" w:hAnsi="Arial" w:cs="Arial"/>
          <w:sz w:val="24"/>
          <w:szCs w:val="24"/>
        </w:rPr>
        <w:t xml:space="preserve">, promocijom amaterskog filma "Osjećaj", snimljenog mobilnim telefonom.  U prepunoj </w:t>
      </w:r>
      <w:proofErr w:type="gramStart"/>
      <w:r w:rsidR="0023461A">
        <w:rPr>
          <w:rFonts w:ascii="Arial" w:hAnsi="Arial" w:cs="Arial"/>
          <w:sz w:val="24"/>
          <w:szCs w:val="24"/>
        </w:rPr>
        <w:t xml:space="preserve">sali </w:t>
      </w:r>
      <w:r w:rsidR="007C334C">
        <w:rPr>
          <w:rFonts w:ascii="Arial" w:hAnsi="Arial" w:cs="Arial"/>
          <w:sz w:val="24"/>
          <w:szCs w:val="24"/>
        </w:rPr>
        <w:t xml:space="preserve"> Scene</w:t>
      </w:r>
      <w:proofErr w:type="gramEnd"/>
      <w:r w:rsidR="007C334C">
        <w:rPr>
          <w:rFonts w:ascii="Arial" w:hAnsi="Arial" w:cs="Arial"/>
          <w:sz w:val="24"/>
          <w:szCs w:val="24"/>
        </w:rPr>
        <w:t xml:space="preserve"> </w:t>
      </w:r>
      <w:r w:rsidR="0023461A">
        <w:rPr>
          <w:rFonts w:ascii="Arial" w:hAnsi="Arial" w:cs="Arial"/>
          <w:sz w:val="24"/>
          <w:szCs w:val="24"/>
        </w:rPr>
        <w:t xml:space="preserve">213, osim korisnika, njihovih porodica i zaposlenih, projekciji filma su </w:t>
      </w:r>
      <w:r w:rsidR="0023461A">
        <w:rPr>
          <w:rFonts w:ascii="Arial" w:hAnsi="Arial" w:cs="Arial"/>
          <w:sz w:val="24"/>
          <w:szCs w:val="24"/>
        </w:rPr>
        <w:lastRenderedPageBreak/>
        <w:t>prisustvovali akteri društveno političkog i kulturnog života Nikšića, predstavnici ministarstava, predsjednik opštine i predsjednik države.</w:t>
      </w:r>
    </w:p>
    <w:p w:rsidR="003A369A" w:rsidRDefault="00C938D8" w:rsidP="002F58B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nastojanju da izvrši uticaj na podizanje nivoa kvaliteta života osoba sa invaliditetom </w:t>
      </w:r>
      <w:r w:rsidR="003A369A">
        <w:rPr>
          <w:rFonts w:ascii="Arial" w:hAnsi="Arial" w:cs="Arial"/>
          <w:sz w:val="24"/>
          <w:szCs w:val="24"/>
        </w:rPr>
        <w:t xml:space="preserve">u opštini </w:t>
      </w:r>
      <w:r>
        <w:rPr>
          <w:rFonts w:ascii="Arial" w:hAnsi="Arial" w:cs="Arial"/>
          <w:sz w:val="24"/>
          <w:szCs w:val="24"/>
        </w:rPr>
        <w:t>Nikšić, dio zaposlenih</w:t>
      </w:r>
      <w:r w:rsidR="003A369A">
        <w:rPr>
          <w:rFonts w:ascii="Arial" w:hAnsi="Arial" w:cs="Arial"/>
          <w:sz w:val="24"/>
          <w:szCs w:val="24"/>
        </w:rPr>
        <w:t xml:space="preserve"> iz ustanove </w:t>
      </w:r>
      <w:r>
        <w:rPr>
          <w:rFonts w:ascii="Arial" w:hAnsi="Arial" w:cs="Arial"/>
          <w:sz w:val="24"/>
          <w:szCs w:val="24"/>
        </w:rPr>
        <w:t xml:space="preserve">je osnovao  Omladinski klub osoba sa </w:t>
      </w:r>
      <w:r w:rsidR="003A369A">
        <w:rPr>
          <w:rFonts w:ascii="Arial" w:hAnsi="Arial" w:cs="Arial"/>
          <w:sz w:val="24"/>
          <w:szCs w:val="24"/>
        </w:rPr>
        <w:t xml:space="preserve">smetnjama u razvoju "Virtus" </w:t>
      </w:r>
      <w:r>
        <w:rPr>
          <w:rFonts w:ascii="Arial" w:hAnsi="Arial" w:cs="Arial"/>
          <w:sz w:val="24"/>
          <w:szCs w:val="24"/>
        </w:rPr>
        <w:t>koj</w:t>
      </w:r>
      <w:r w:rsidR="003A369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će se fokusirati na integraciju m</w:t>
      </w:r>
      <w:r w:rsidR="003A369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adih sa invalditetom i omladine sa tipičnim intelektualnim statusom. Ovo je korak dalje ka potpunoj inkluziji osoba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invalidietom, kroz koncept zajed</w:t>
      </w:r>
      <w:r w:rsidR="003A369A">
        <w:rPr>
          <w:rFonts w:ascii="Arial" w:hAnsi="Arial" w:cs="Arial"/>
          <w:sz w:val="24"/>
          <w:szCs w:val="24"/>
        </w:rPr>
        <w:t xml:space="preserve">ničkog učešća u projektima, radionicama, kulturnim i zabavnim događajima. Klub </w:t>
      </w:r>
      <w:proofErr w:type="gramStart"/>
      <w:r w:rsidR="003A369A">
        <w:rPr>
          <w:rFonts w:ascii="Arial" w:hAnsi="Arial" w:cs="Arial"/>
          <w:sz w:val="24"/>
          <w:szCs w:val="24"/>
        </w:rPr>
        <w:t>će</w:t>
      </w:r>
      <w:proofErr w:type="gramEnd"/>
      <w:r w:rsidR="003A369A">
        <w:rPr>
          <w:rFonts w:ascii="Arial" w:hAnsi="Arial" w:cs="Arial"/>
          <w:sz w:val="24"/>
          <w:szCs w:val="24"/>
        </w:rPr>
        <w:t xml:space="preserve"> koristiti prostornu i kadrovsku logistitku Dnevnog centra. </w:t>
      </w:r>
    </w:p>
    <w:p w:rsidR="004F502B" w:rsidRDefault="003A369A" w:rsidP="002F58B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938D8">
        <w:rPr>
          <w:rFonts w:ascii="Arial" w:hAnsi="Arial" w:cs="Arial"/>
          <w:sz w:val="24"/>
          <w:szCs w:val="24"/>
        </w:rPr>
        <w:t xml:space="preserve">  </w:t>
      </w:r>
      <w:r w:rsidR="00B87AC0">
        <w:rPr>
          <w:rFonts w:ascii="Arial" w:hAnsi="Arial" w:cs="Arial"/>
          <w:sz w:val="24"/>
          <w:szCs w:val="24"/>
        </w:rPr>
        <w:t xml:space="preserve"> </w:t>
      </w:r>
      <w:r w:rsidR="00A40147">
        <w:rPr>
          <w:rFonts w:ascii="Arial" w:hAnsi="Arial" w:cs="Arial"/>
          <w:sz w:val="24"/>
          <w:szCs w:val="24"/>
        </w:rPr>
        <w:t xml:space="preserve">Već smo </w:t>
      </w:r>
      <w:r w:rsidR="007C334C">
        <w:rPr>
          <w:rFonts w:ascii="Arial" w:hAnsi="Arial" w:cs="Arial"/>
          <w:sz w:val="24"/>
          <w:szCs w:val="24"/>
        </w:rPr>
        <w:t xml:space="preserve">u </w:t>
      </w:r>
      <w:r w:rsidR="00A40147">
        <w:rPr>
          <w:rFonts w:ascii="Arial" w:hAnsi="Arial" w:cs="Arial"/>
          <w:sz w:val="24"/>
          <w:szCs w:val="24"/>
        </w:rPr>
        <w:t>prethodnom dijelu teksta pomenu</w:t>
      </w:r>
      <w:r w:rsidR="001A6E86">
        <w:rPr>
          <w:rFonts w:ascii="Arial" w:hAnsi="Arial" w:cs="Arial"/>
          <w:sz w:val="24"/>
          <w:szCs w:val="24"/>
        </w:rPr>
        <w:t>li</w:t>
      </w:r>
      <w:r w:rsidR="00A40147">
        <w:rPr>
          <w:rFonts w:ascii="Arial" w:hAnsi="Arial" w:cs="Arial"/>
          <w:sz w:val="24"/>
          <w:szCs w:val="24"/>
        </w:rPr>
        <w:t xml:space="preserve"> idej</w:t>
      </w:r>
      <w:r w:rsidR="001A6E86">
        <w:rPr>
          <w:rFonts w:ascii="Arial" w:hAnsi="Arial" w:cs="Arial"/>
          <w:sz w:val="24"/>
          <w:szCs w:val="24"/>
        </w:rPr>
        <w:t>u</w:t>
      </w:r>
      <w:r w:rsidR="00A40147">
        <w:rPr>
          <w:rFonts w:ascii="Arial" w:hAnsi="Arial" w:cs="Arial"/>
          <w:sz w:val="24"/>
          <w:szCs w:val="24"/>
        </w:rPr>
        <w:t xml:space="preserve"> o konceptu strateškog pristupa u stvaranju uslova za rad </w:t>
      </w:r>
      <w:proofErr w:type="gramStart"/>
      <w:r w:rsidR="00A40147">
        <w:rPr>
          <w:rFonts w:ascii="Arial" w:hAnsi="Arial" w:cs="Arial"/>
          <w:sz w:val="24"/>
          <w:szCs w:val="24"/>
        </w:rPr>
        <w:t>sa</w:t>
      </w:r>
      <w:proofErr w:type="gramEnd"/>
      <w:r w:rsidR="00A40147">
        <w:rPr>
          <w:rFonts w:ascii="Arial" w:hAnsi="Arial" w:cs="Arial"/>
          <w:sz w:val="24"/>
          <w:szCs w:val="24"/>
        </w:rPr>
        <w:t xml:space="preserve"> osobama sa autističnim spektrom. Prepoznati trendovi u našoj sredini, koji su i, ujedno i globalni trendovi, ukazuju </w:t>
      </w:r>
      <w:proofErr w:type="gramStart"/>
      <w:r w:rsidR="00A40147">
        <w:rPr>
          <w:rFonts w:ascii="Arial" w:hAnsi="Arial" w:cs="Arial"/>
          <w:sz w:val="24"/>
          <w:szCs w:val="24"/>
        </w:rPr>
        <w:t>na</w:t>
      </w:r>
      <w:proofErr w:type="gramEnd"/>
      <w:r w:rsidR="00A40147">
        <w:rPr>
          <w:rFonts w:ascii="Arial" w:hAnsi="Arial" w:cs="Arial"/>
          <w:sz w:val="24"/>
          <w:szCs w:val="24"/>
        </w:rPr>
        <w:t xml:space="preserve"> potrebu iznalaženja rješenja koje će moći servisirati potrebe lokalne sredine na ovom polju. U programu rada za 2024. </w:t>
      </w:r>
      <w:proofErr w:type="gramStart"/>
      <w:r w:rsidR="00A40147">
        <w:rPr>
          <w:rFonts w:ascii="Arial" w:hAnsi="Arial" w:cs="Arial"/>
          <w:sz w:val="24"/>
          <w:szCs w:val="24"/>
        </w:rPr>
        <w:t>godinu</w:t>
      </w:r>
      <w:proofErr w:type="gramEnd"/>
      <w:r w:rsidR="00A40147">
        <w:rPr>
          <w:rFonts w:ascii="Arial" w:hAnsi="Arial" w:cs="Arial"/>
          <w:sz w:val="24"/>
          <w:szCs w:val="24"/>
        </w:rPr>
        <w:t xml:space="preserve">, odbornici Skupštine opštine Nikšić su upoznati sa planiranim aktivnostima na ovom planu. Naime, Dnevni centar </w:t>
      </w:r>
      <w:proofErr w:type="gramStart"/>
      <w:r w:rsidR="00A40147">
        <w:rPr>
          <w:rFonts w:ascii="Arial" w:hAnsi="Arial" w:cs="Arial"/>
          <w:sz w:val="24"/>
          <w:szCs w:val="24"/>
        </w:rPr>
        <w:t>je  zbog</w:t>
      </w:r>
      <w:proofErr w:type="gramEnd"/>
      <w:r w:rsidR="00A40147">
        <w:rPr>
          <w:rFonts w:ascii="Arial" w:hAnsi="Arial" w:cs="Arial"/>
          <w:sz w:val="24"/>
          <w:szCs w:val="24"/>
        </w:rPr>
        <w:t xml:space="preserve"> znanja i iskustva u radu sa osobama sa invaliditetom prepoznat kao jedan od stubova socijalne i dječje zaštite u opštini. Sam problem značajnog uvećanja procenta osoba </w:t>
      </w:r>
      <w:proofErr w:type="gramStart"/>
      <w:r w:rsidR="001A6E86">
        <w:rPr>
          <w:rFonts w:ascii="Arial" w:hAnsi="Arial" w:cs="Arial"/>
          <w:sz w:val="24"/>
          <w:szCs w:val="24"/>
        </w:rPr>
        <w:t>sa</w:t>
      </w:r>
      <w:proofErr w:type="gramEnd"/>
      <w:r w:rsidR="001A6E86">
        <w:rPr>
          <w:rFonts w:ascii="Arial" w:hAnsi="Arial" w:cs="Arial"/>
          <w:sz w:val="24"/>
          <w:szCs w:val="24"/>
        </w:rPr>
        <w:t xml:space="preserve"> autističnim spektrom u odnosu na ostale vrste poremećaja i pritisak na sticanje korisničkog prava od strane ove populacije, rezultirao je inicijalnom idejom o otvaranju centra za autizam koja je potekla iz naše ustanove, a koja je predočena zainteresovanim stranama. </w:t>
      </w:r>
      <w:r w:rsidR="00FA2638">
        <w:rPr>
          <w:rFonts w:ascii="Arial" w:hAnsi="Arial" w:cs="Arial"/>
          <w:sz w:val="24"/>
          <w:szCs w:val="24"/>
        </w:rPr>
        <w:t>Posebne</w:t>
      </w:r>
      <w:r w:rsidR="001A6E86">
        <w:rPr>
          <w:rFonts w:ascii="Arial" w:hAnsi="Arial" w:cs="Arial"/>
          <w:sz w:val="24"/>
          <w:szCs w:val="24"/>
        </w:rPr>
        <w:t xml:space="preserve"> potreb</w:t>
      </w:r>
      <w:r w:rsidR="00FA2638">
        <w:rPr>
          <w:rFonts w:ascii="Arial" w:hAnsi="Arial" w:cs="Arial"/>
          <w:sz w:val="24"/>
          <w:szCs w:val="24"/>
        </w:rPr>
        <w:t>e</w:t>
      </w:r>
      <w:r w:rsidR="001A6E86">
        <w:rPr>
          <w:rFonts w:ascii="Arial" w:hAnsi="Arial" w:cs="Arial"/>
          <w:sz w:val="24"/>
          <w:szCs w:val="24"/>
        </w:rPr>
        <w:t xml:space="preserve"> osoba iz autističnog spektra</w:t>
      </w:r>
      <w:r w:rsidR="00FA2638">
        <w:rPr>
          <w:rFonts w:ascii="Arial" w:hAnsi="Arial" w:cs="Arial"/>
          <w:sz w:val="24"/>
          <w:szCs w:val="24"/>
        </w:rPr>
        <w:t xml:space="preserve"> u vidu prostorne i kadrovske infrastrukture iziskuju izgradnju posebnog objekta i angažman stručnih lica koji </w:t>
      </w:r>
      <w:proofErr w:type="gramStart"/>
      <w:r w:rsidR="00FA2638">
        <w:rPr>
          <w:rFonts w:ascii="Arial" w:hAnsi="Arial" w:cs="Arial"/>
          <w:sz w:val="24"/>
          <w:szCs w:val="24"/>
        </w:rPr>
        <w:t>će</w:t>
      </w:r>
      <w:proofErr w:type="gramEnd"/>
      <w:r w:rsidR="00FA2638">
        <w:rPr>
          <w:rFonts w:ascii="Arial" w:hAnsi="Arial" w:cs="Arial"/>
          <w:sz w:val="24"/>
          <w:szCs w:val="24"/>
        </w:rPr>
        <w:t xml:space="preserve"> zadovoljiti ove potrebe. U </w:t>
      </w:r>
      <w:r w:rsidR="001A6E86">
        <w:rPr>
          <w:rFonts w:ascii="Arial" w:hAnsi="Arial" w:cs="Arial"/>
          <w:sz w:val="24"/>
          <w:szCs w:val="24"/>
        </w:rPr>
        <w:t xml:space="preserve">saradnji sa lokalnom samoupravom i predsjednikom opštine započete su radnje na stvaranju početnih </w:t>
      </w:r>
      <w:r w:rsidR="00FA2638">
        <w:rPr>
          <w:rFonts w:ascii="Arial" w:hAnsi="Arial" w:cs="Arial"/>
          <w:sz w:val="24"/>
          <w:szCs w:val="24"/>
        </w:rPr>
        <w:t xml:space="preserve">uslova za dobijanjem početnih inputa </w:t>
      </w:r>
      <w:proofErr w:type="gramStart"/>
      <w:r w:rsidR="00FA2638">
        <w:rPr>
          <w:rFonts w:ascii="Arial" w:hAnsi="Arial" w:cs="Arial"/>
          <w:sz w:val="24"/>
          <w:szCs w:val="24"/>
        </w:rPr>
        <w:t xml:space="preserve">za </w:t>
      </w:r>
      <w:r w:rsidR="001A6E86">
        <w:rPr>
          <w:rFonts w:ascii="Arial" w:hAnsi="Arial" w:cs="Arial"/>
          <w:sz w:val="24"/>
          <w:szCs w:val="24"/>
        </w:rPr>
        <w:t xml:space="preserve"> </w:t>
      </w:r>
      <w:r w:rsidR="00FA2638">
        <w:rPr>
          <w:rFonts w:ascii="Arial" w:hAnsi="Arial" w:cs="Arial"/>
          <w:sz w:val="24"/>
          <w:szCs w:val="24"/>
        </w:rPr>
        <w:t>aktivnosti</w:t>
      </w:r>
      <w:proofErr w:type="gramEnd"/>
      <w:r w:rsidR="00FA2638">
        <w:rPr>
          <w:rFonts w:ascii="Arial" w:hAnsi="Arial" w:cs="Arial"/>
          <w:sz w:val="24"/>
          <w:szCs w:val="24"/>
        </w:rPr>
        <w:t xml:space="preserve"> na izradi projekta. </w:t>
      </w:r>
      <w:r w:rsidR="001A6E86">
        <w:rPr>
          <w:rFonts w:ascii="Arial" w:hAnsi="Arial" w:cs="Arial"/>
          <w:sz w:val="24"/>
          <w:szCs w:val="24"/>
        </w:rPr>
        <w:t xml:space="preserve">U prethodnoj godini, započeli smo mapiranje osoba </w:t>
      </w:r>
      <w:proofErr w:type="gramStart"/>
      <w:r w:rsidR="001A6E86">
        <w:rPr>
          <w:rFonts w:ascii="Arial" w:hAnsi="Arial" w:cs="Arial"/>
          <w:sz w:val="24"/>
          <w:szCs w:val="24"/>
        </w:rPr>
        <w:t>sa</w:t>
      </w:r>
      <w:proofErr w:type="gramEnd"/>
      <w:r w:rsidR="001A6E86">
        <w:rPr>
          <w:rFonts w:ascii="Arial" w:hAnsi="Arial" w:cs="Arial"/>
          <w:sz w:val="24"/>
          <w:szCs w:val="24"/>
        </w:rPr>
        <w:t xml:space="preserve"> autizmom i njihovih porodica, koje nijesu korisnici naših usluga, kako bi smo utvrdili projekciju potreba. Osim toga,</w:t>
      </w:r>
      <w:r w:rsidR="00FA2638">
        <w:rPr>
          <w:rFonts w:ascii="Arial" w:hAnsi="Arial" w:cs="Arial"/>
          <w:sz w:val="24"/>
          <w:szCs w:val="24"/>
        </w:rPr>
        <w:t xml:space="preserve"> ostvareni su značajni kontakti koji su rezultirali početnim edukacijama stručnih lica i članova porodica u širem opsegu.  </w:t>
      </w:r>
      <w:r w:rsidR="001A6E86">
        <w:rPr>
          <w:rFonts w:ascii="Arial" w:hAnsi="Arial" w:cs="Arial"/>
          <w:sz w:val="24"/>
          <w:szCs w:val="24"/>
        </w:rPr>
        <w:t xml:space="preserve">    </w:t>
      </w:r>
      <w:r w:rsidR="00A40147">
        <w:rPr>
          <w:rFonts w:ascii="Arial" w:hAnsi="Arial" w:cs="Arial"/>
          <w:sz w:val="24"/>
          <w:szCs w:val="24"/>
        </w:rPr>
        <w:t xml:space="preserve">  </w:t>
      </w:r>
    </w:p>
    <w:p w:rsidR="00232248" w:rsidRPr="00232248" w:rsidRDefault="003C260B" w:rsidP="00FA2638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97CDA">
        <w:rPr>
          <w:rFonts w:ascii="Arial" w:hAnsi="Arial" w:cs="Arial"/>
          <w:sz w:val="24"/>
          <w:szCs w:val="24"/>
        </w:rPr>
        <w:t xml:space="preserve">  </w:t>
      </w:r>
      <w:r w:rsidR="00232248" w:rsidRPr="00232248">
        <w:rPr>
          <w:rFonts w:ascii="Arial" w:hAnsi="Arial" w:cs="Arial"/>
          <w:sz w:val="24"/>
          <w:szCs w:val="24"/>
        </w:rPr>
        <w:t xml:space="preserve">U cilju informisanja javnosti, aktivnosti u Dnevnom centru redovno se prezentiraju na sajtu www.dnevnicentar.me, koji je do sada bilježi </w:t>
      </w:r>
      <w:proofErr w:type="gramStart"/>
      <w:r w:rsidR="00232248" w:rsidRPr="00232248">
        <w:rPr>
          <w:rFonts w:ascii="Arial" w:hAnsi="Arial" w:cs="Arial"/>
          <w:sz w:val="24"/>
          <w:szCs w:val="24"/>
        </w:rPr>
        <w:t xml:space="preserve">preko  </w:t>
      </w:r>
      <w:r w:rsidR="00FA2638">
        <w:rPr>
          <w:rFonts w:ascii="Arial" w:hAnsi="Arial" w:cs="Arial"/>
          <w:sz w:val="24"/>
          <w:szCs w:val="24"/>
        </w:rPr>
        <w:t>600</w:t>
      </w:r>
      <w:r w:rsidR="00232248" w:rsidRPr="00232248">
        <w:rPr>
          <w:rFonts w:ascii="Arial" w:hAnsi="Arial" w:cs="Arial"/>
          <w:sz w:val="24"/>
          <w:szCs w:val="24"/>
        </w:rPr>
        <w:t>.000</w:t>
      </w:r>
      <w:proofErr w:type="gramEnd"/>
      <w:r w:rsidR="00232248" w:rsidRPr="00232248">
        <w:rPr>
          <w:rFonts w:ascii="Arial" w:hAnsi="Arial" w:cs="Arial"/>
          <w:sz w:val="24"/>
          <w:szCs w:val="24"/>
        </w:rPr>
        <w:t xml:space="preserve"> posjeta, i FB stranici, na kojoj imamo stalnu interakciju sa javnošću. Takođe, naš rad se prati i preko stalno prisutnih predstavnika štampanih i elektronskih medija </w:t>
      </w:r>
      <w:proofErr w:type="gramStart"/>
      <w:r w:rsidR="00232248" w:rsidRPr="00232248">
        <w:rPr>
          <w:rFonts w:ascii="Arial" w:hAnsi="Arial" w:cs="Arial"/>
          <w:sz w:val="24"/>
          <w:szCs w:val="24"/>
        </w:rPr>
        <w:t>na</w:t>
      </w:r>
      <w:proofErr w:type="gramEnd"/>
      <w:r w:rsidR="00232248" w:rsidRPr="00232248">
        <w:rPr>
          <w:rFonts w:ascii="Arial" w:hAnsi="Arial" w:cs="Arial"/>
          <w:sz w:val="24"/>
          <w:szCs w:val="24"/>
        </w:rPr>
        <w:t xml:space="preserve"> događanjima u Dnevnom centru. </w:t>
      </w:r>
    </w:p>
    <w:p w:rsidR="00232248" w:rsidRPr="00232248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ab/>
      </w:r>
      <w:r w:rsidRPr="00232248">
        <w:rPr>
          <w:rFonts w:ascii="Arial" w:hAnsi="Arial" w:cs="Arial"/>
          <w:sz w:val="24"/>
          <w:szCs w:val="24"/>
        </w:rPr>
        <w:tab/>
      </w:r>
      <w:r w:rsidRPr="00232248">
        <w:rPr>
          <w:rFonts w:ascii="Arial" w:hAnsi="Arial" w:cs="Arial"/>
          <w:sz w:val="24"/>
          <w:szCs w:val="24"/>
        </w:rPr>
        <w:tab/>
      </w:r>
      <w:r w:rsidRPr="00232248">
        <w:rPr>
          <w:rFonts w:ascii="Arial" w:hAnsi="Arial" w:cs="Arial"/>
          <w:sz w:val="24"/>
          <w:szCs w:val="24"/>
        </w:rPr>
        <w:tab/>
      </w:r>
      <w:r w:rsidRPr="00232248">
        <w:rPr>
          <w:rFonts w:ascii="Arial" w:hAnsi="Arial" w:cs="Arial"/>
          <w:sz w:val="24"/>
          <w:szCs w:val="24"/>
        </w:rPr>
        <w:tab/>
      </w:r>
      <w:r w:rsidRPr="00232248">
        <w:rPr>
          <w:rFonts w:ascii="Arial" w:hAnsi="Arial" w:cs="Arial"/>
          <w:sz w:val="24"/>
          <w:szCs w:val="24"/>
        </w:rPr>
        <w:tab/>
      </w:r>
      <w:r w:rsidRPr="00232248">
        <w:rPr>
          <w:rFonts w:ascii="Arial" w:hAnsi="Arial" w:cs="Arial"/>
          <w:sz w:val="24"/>
          <w:szCs w:val="24"/>
        </w:rPr>
        <w:tab/>
      </w:r>
      <w:r w:rsidRPr="00232248">
        <w:rPr>
          <w:rFonts w:ascii="Arial" w:hAnsi="Arial" w:cs="Arial"/>
          <w:sz w:val="24"/>
          <w:szCs w:val="24"/>
        </w:rPr>
        <w:tab/>
      </w:r>
      <w:r w:rsidRPr="00232248">
        <w:rPr>
          <w:rFonts w:ascii="Arial" w:hAnsi="Arial" w:cs="Arial"/>
          <w:sz w:val="24"/>
          <w:szCs w:val="24"/>
        </w:rPr>
        <w:tab/>
        <w:t>Direktor,</w:t>
      </w:r>
    </w:p>
    <w:p w:rsidR="00912B42" w:rsidRDefault="00232248" w:rsidP="00232248">
      <w:pPr>
        <w:jc w:val="both"/>
        <w:rPr>
          <w:rFonts w:ascii="Arial" w:hAnsi="Arial" w:cs="Arial"/>
          <w:sz w:val="24"/>
          <w:szCs w:val="24"/>
        </w:rPr>
      </w:pPr>
      <w:r w:rsidRPr="00232248">
        <w:rPr>
          <w:rFonts w:ascii="Arial" w:hAnsi="Arial" w:cs="Arial"/>
          <w:sz w:val="24"/>
          <w:szCs w:val="24"/>
        </w:rPr>
        <w:tab/>
      </w:r>
      <w:r w:rsidRPr="00232248">
        <w:rPr>
          <w:rFonts w:ascii="Arial" w:hAnsi="Arial" w:cs="Arial"/>
          <w:sz w:val="24"/>
          <w:szCs w:val="24"/>
        </w:rPr>
        <w:tab/>
      </w:r>
      <w:r w:rsidRPr="00232248">
        <w:rPr>
          <w:rFonts w:ascii="Arial" w:hAnsi="Arial" w:cs="Arial"/>
          <w:sz w:val="24"/>
          <w:szCs w:val="24"/>
        </w:rPr>
        <w:tab/>
      </w:r>
      <w:r w:rsidRPr="00232248">
        <w:rPr>
          <w:rFonts w:ascii="Arial" w:hAnsi="Arial" w:cs="Arial"/>
          <w:sz w:val="24"/>
          <w:szCs w:val="24"/>
        </w:rPr>
        <w:tab/>
      </w:r>
      <w:r w:rsidRPr="00232248">
        <w:rPr>
          <w:rFonts w:ascii="Arial" w:hAnsi="Arial" w:cs="Arial"/>
          <w:sz w:val="24"/>
          <w:szCs w:val="24"/>
        </w:rPr>
        <w:tab/>
      </w:r>
      <w:r w:rsidRPr="00232248">
        <w:rPr>
          <w:rFonts w:ascii="Arial" w:hAnsi="Arial" w:cs="Arial"/>
          <w:sz w:val="24"/>
          <w:szCs w:val="24"/>
        </w:rPr>
        <w:tab/>
      </w:r>
      <w:r w:rsidRPr="00232248">
        <w:rPr>
          <w:rFonts w:ascii="Arial" w:hAnsi="Arial" w:cs="Arial"/>
          <w:sz w:val="24"/>
          <w:szCs w:val="24"/>
        </w:rPr>
        <w:tab/>
      </w:r>
      <w:r w:rsidRPr="00232248">
        <w:rPr>
          <w:rFonts w:ascii="Arial" w:hAnsi="Arial" w:cs="Arial"/>
          <w:sz w:val="24"/>
          <w:szCs w:val="24"/>
        </w:rPr>
        <w:tab/>
        <w:t xml:space="preserve">    Radovan Dragnić</w:t>
      </w:r>
      <w:r w:rsidR="00BF2F7C">
        <w:rPr>
          <w:rFonts w:ascii="Arial" w:hAnsi="Arial" w:cs="Arial"/>
          <w:sz w:val="24"/>
          <w:szCs w:val="24"/>
        </w:rPr>
        <w:t>, s.r.</w:t>
      </w:r>
      <w:bookmarkStart w:id="0" w:name="_GoBack"/>
      <w:bookmarkEnd w:id="0"/>
    </w:p>
    <w:p w:rsidR="00912B42" w:rsidRDefault="00912B42" w:rsidP="005F4AED">
      <w:pPr>
        <w:jc w:val="both"/>
        <w:rPr>
          <w:rFonts w:ascii="Arial" w:hAnsi="Arial" w:cs="Arial"/>
          <w:sz w:val="24"/>
          <w:szCs w:val="24"/>
        </w:rPr>
      </w:pPr>
    </w:p>
    <w:p w:rsidR="00912B42" w:rsidRDefault="00912B42" w:rsidP="005F4AED">
      <w:pPr>
        <w:jc w:val="both"/>
        <w:rPr>
          <w:rFonts w:ascii="Arial" w:hAnsi="Arial" w:cs="Arial"/>
          <w:sz w:val="24"/>
          <w:szCs w:val="24"/>
        </w:rPr>
      </w:pPr>
    </w:p>
    <w:p w:rsidR="00912B42" w:rsidRDefault="00912B42" w:rsidP="005F4AED">
      <w:pPr>
        <w:jc w:val="both"/>
        <w:rPr>
          <w:rFonts w:ascii="Arial" w:hAnsi="Arial" w:cs="Arial"/>
          <w:sz w:val="24"/>
          <w:szCs w:val="24"/>
        </w:rPr>
      </w:pPr>
    </w:p>
    <w:p w:rsidR="0063151C" w:rsidRDefault="0063151C" w:rsidP="005F4AED">
      <w:pPr>
        <w:jc w:val="both"/>
        <w:rPr>
          <w:rFonts w:ascii="Arial" w:hAnsi="Arial" w:cs="Arial"/>
          <w:sz w:val="24"/>
          <w:szCs w:val="24"/>
        </w:rPr>
      </w:pPr>
    </w:p>
    <w:p w:rsidR="00C938D8" w:rsidRDefault="00C938D8" w:rsidP="005F4AED">
      <w:pPr>
        <w:jc w:val="both"/>
        <w:rPr>
          <w:rFonts w:ascii="Arial" w:hAnsi="Arial" w:cs="Arial"/>
          <w:sz w:val="24"/>
          <w:szCs w:val="24"/>
        </w:rPr>
      </w:pPr>
    </w:p>
    <w:p w:rsidR="00C938D8" w:rsidRDefault="00C938D8" w:rsidP="005F4AE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16" w:type="dxa"/>
        <w:tblLayout w:type="fixed"/>
        <w:tblLook w:val="04A0" w:firstRow="1" w:lastRow="0" w:firstColumn="1" w:lastColumn="0" w:noHBand="0" w:noVBand="1"/>
      </w:tblPr>
      <w:tblGrid>
        <w:gridCol w:w="851"/>
        <w:gridCol w:w="3346"/>
        <w:gridCol w:w="405"/>
        <w:gridCol w:w="1352"/>
        <w:gridCol w:w="559"/>
        <w:gridCol w:w="236"/>
        <w:gridCol w:w="1260"/>
        <w:gridCol w:w="803"/>
        <w:gridCol w:w="804"/>
      </w:tblGrid>
      <w:tr w:rsidR="00912B42" w:rsidTr="0007422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IZVJEŠTAJ O NOVČANIM TOKOVIMA IV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42" w:rsidRDefault="00912B42" w:rsidP="008077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Godina 202</w:t>
            </w:r>
            <w:r w:rsidR="0080775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2" w:rsidRDefault="00912B42" w:rsidP="00D8183A">
            <w:pPr>
              <w:rPr>
                <w:sz w:val="20"/>
                <w:szCs w:val="20"/>
              </w:rPr>
            </w:pPr>
          </w:p>
        </w:tc>
      </w:tr>
      <w:tr w:rsidR="00912B42" w:rsidTr="0007422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Period ______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2B42" w:rsidTr="00074225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NOVČANI TOK-EKONOMSKA KLASIFIKACIJA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Izvršenje u prethodnoj godini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z v r š e nj e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Ukupno</w:t>
            </w:r>
          </w:p>
        </w:tc>
      </w:tr>
      <w:tr w:rsidR="00912B42" w:rsidTr="0007422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20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(4+5)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12B42" w:rsidTr="00074225">
        <w:trPr>
          <w:trHeight w:val="102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Tekuća godina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Tekuća godina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Tekuća godina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12B42" w:rsidTr="00074225">
        <w:trPr>
          <w:trHeight w:val="12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(iz budžeta)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iz budžeta)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(sopstveni prihodi)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808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8080"/>
                <w:sz w:val="18"/>
                <w:szCs w:val="18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PRIMICI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ED4F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Transferi iz Budžeta opštine Nikšić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ED4F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Transferi za zarade I druga lična primanja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074225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254.653,82</w:t>
            </w:r>
            <w:r w:rsidR="00912B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074225" w:rsidP="000742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  <w:r w:rsidR="00AE16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288,81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ED4F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Transferi za komunalne usluge</w:t>
            </w:r>
            <w:r w:rsidR="00AE16CC">
              <w:rPr>
                <w:rFonts w:ascii="Arial" w:hAnsi="Arial" w:cs="Arial"/>
                <w:color w:val="000000"/>
                <w:sz w:val="20"/>
                <w:szCs w:val="20"/>
              </w:rPr>
              <w:t xml:space="preserve"> i ostalo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074225">
              <w:rPr>
                <w:rFonts w:ascii="Arial" w:hAnsi="Arial" w:cs="Arial"/>
                <w:color w:val="000000"/>
                <w:sz w:val="20"/>
                <w:szCs w:val="20"/>
              </w:rPr>
              <w:t>37,012,80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074225" w:rsidP="000742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  <w:r w:rsidR="00912B4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  <w:r w:rsidR="0046763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ED4F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Transferi po osnovu reprograma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074225">
              <w:rPr>
                <w:rFonts w:ascii="Arial" w:hAnsi="Arial" w:cs="Arial"/>
                <w:color w:val="000000"/>
                <w:sz w:val="20"/>
                <w:szCs w:val="20"/>
              </w:rPr>
              <w:t>1,59</w:t>
            </w:r>
            <w:r w:rsidR="00074225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6</w:t>
            </w:r>
            <w:r w:rsidR="00074225">
              <w:rPr>
                <w:rFonts w:ascii="Arial" w:hAnsi="Arial" w:cs="Arial"/>
                <w:color w:val="000000"/>
                <w:sz w:val="20"/>
                <w:szCs w:val="20"/>
              </w:rPr>
              <w:t>,24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0742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</w:t>
            </w:r>
            <w:r w:rsidR="00074225">
              <w:rPr>
                <w:rFonts w:ascii="Arial" w:hAnsi="Arial" w:cs="Arial"/>
                <w:color w:val="000000"/>
                <w:sz w:val="20"/>
                <w:szCs w:val="20"/>
              </w:rPr>
              <w:t>741,32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Transferi Ministarstva rada I socijalnog staranja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074225">
              <w:rPr>
                <w:rFonts w:ascii="Arial" w:hAnsi="Arial" w:cs="Arial"/>
                <w:color w:val="000000"/>
                <w:sz w:val="20"/>
                <w:szCs w:val="20"/>
              </w:rPr>
              <w:t>54,135,00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807759" w:rsidP="008077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103.505,00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projekata ZZCG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074225">
              <w:rPr>
                <w:rFonts w:ascii="Arial" w:hAnsi="Arial" w:cs="Arial"/>
                <w:color w:val="000000"/>
                <w:sz w:val="20"/>
                <w:szCs w:val="20"/>
              </w:rPr>
              <w:t>16.395,47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807759" w:rsidP="008077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5F0E7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675,79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7759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7759" w:rsidRDefault="00807759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7759" w:rsidRDefault="00807759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IPA projekta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7759" w:rsidRDefault="00807759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7759" w:rsidRDefault="00807759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759" w:rsidRDefault="00807759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35.656,38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7759" w:rsidRDefault="00807759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7759" w:rsidRDefault="00807759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Sopstveni prihodi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Pimici od prodaje imovine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Primici od otplate kredita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Donacije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1.6.1.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Donacije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074225">
              <w:rPr>
                <w:rFonts w:ascii="Arial" w:hAnsi="Arial" w:cs="Arial"/>
                <w:color w:val="000000"/>
                <w:sz w:val="20"/>
                <w:szCs w:val="20"/>
              </w:rPr>
              <w:t>10.460</w:t>
            </w:r>
            <w:r w:rsidR="00074225" w:rsidRPr="00AE16CC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807759" w:rsidP="008077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5F0E79">
              <w:rPr>
                <w:rFonts w:ascii="Arial" w:hAnsi="Arial" w:cs="Arial"/>
                <w:color w:val="000000"/>
                <w:sz w:val="20"/>
                <w:szCs w:val="20"/>
              </w:rPr>
              <w:t>.46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AE16CC" w:rsidRPr="00AE16C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1.6.2.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Donacije od odlaganja krivičnog gonjenja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074225">
              <w:rPr>
                <w:rFonts w:ascii="Arial" w:hAnsi="Arial" w:cs="Arial"/>
                <w:color w:val="000000"/>
                <w:sz w:val="20"/>
                <w:szCs w:val="20"/>
              </w:rPr>
              <w:t>6,300,00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807759" w:rsidP="008077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12B4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0E7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912B42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Transferi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1.7.1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Transferi od Fonda za zdravstveno osiguranje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1.7.2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transferi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Pozajmice i krediti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Ukupno primici  (1.1+1.2+1.3+1.4+1.5+1.6+1.7+1.8)</w:t>
            </w:r>
          </w:p>
        </w:tc>
        <w:tc>
          <w:tcPr>
            <w:tcW w:w="13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b/>
                <w:bCs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807759" w:rsidP="00AE31A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594</w:t>
            </w:r>
            <w:r w:rsidR="00912B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AE3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358</w:t>
            </w:r>
            <w:r w:rsidR="00000E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="00AE3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IZDACI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Tekući izdaci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B27DF2">
              <w:rPr>
                <w:rFonts w:ascii="Arial" w:hAnsi="Arial" w:cs="Arial"/>
                <w:color w:val="000000"/>
                <w:sz w:val="20"/>
                <w:szCs w:val="20"/>
              </w:rPr>
              <w:t>286.175,41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B27DF2" w:rsidP="00B27D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404.903,60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Ostala lična primanja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B27DF2">
              <w:rPr>
                <w:rFonts w:ascii="Arial" w:hAnsi="Arial" w:cs="Arial"/>
                <w:color w:val="000000"/>
                <w:sz w:val="20"/>
                <w:szCs w:val="20"/>
              </w:rPr>
              <w:t>10.405,08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5F0E79" w:rsidP="00B27D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4C314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B27DF2">
              <w:rPr>
                <w:rFonts w:ascii="Arial" w:hAnsi="Arial" w:cs="Arial"/>
                <w:color w:val="000000"/>
                <w:sz w:val="20"/>
                <w:szCs w:val="20"/>
              </w:rPr>
              <w:t>172,30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usluge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B27DF2">
              <w:rPr>
                <w:rFonts w:ascii="Arial" w:hAnsi="Arial" w:cs="Arial"/>
                <w:color w:val="000000"/>
                <w:sz w:val="20"/>
                <w:szCs w:val="20"/>
              </w:rPr>
              <w:t>81.865,45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B27DF2" w:rsidP="00B27D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118.744,18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održavanje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B27DF2">
              <w:rPr>
                <w:rFonts w:ascii="Arial" w:hAnsi="Arial" w:cs="Arial"/>
                <w:color w:val="000000"/>
                <w:sz w:val="20"/>
                <w:szCs w:val="20"/>
              </w:rPr>
              <w:t>2.2643,44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B27DF2" w:rsidP="00B27D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3.242,00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Kamate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Renta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Transferi za socijalnu zaštitu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4C31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Sredstva za tehnološke viškove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12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Transferi institucijama, pojedincima, nevladinom i    javnom sektoru                        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Kapitalni izdaci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Pozajmice i krediti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Otplata dugova</w:t>
            </w:r>
          </w:p>
        </w:tc>
        <w:tc>
          <w:tcPr>
            <w:tcW w:w="13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7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Rezerve</w:t>
            </w:r>
          </w:p>
        </w:tc>
        <w:tc>
          <w:tcPr>
            <w:tcW w:w="13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7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Ukupno izdaci  (2.1 + 2.2 + 2.3  + 2.4 + 2.5 +2.6 +2.7)</w:t>
            </w:r>
          </w:p>
        </w:tc>
        <w:tc>
          <w:tcPr>
            <w:tcW w:w="13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B27DF2" w:rsidP="00D8183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380.710,38</w:t>
            </w:r>
            <w:r w:rsidR="00912B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B27DF2" w:rsidP="00B27D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569.718,46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7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ind w:firstLineChars="300" w:firstLine="6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Povećanje/smanjenje gotovine (I - II)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B27DF2" w:rsidP="00D8183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7.516,71</w:t>
            </w:r>
            <w:r w:rsidR="00912B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B27DF2" w:rsidP="00B27D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24.640,42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ind w:firstLineChars="300" w:firstLine="6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Gotovina na početku perioda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B27D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5.328,90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b/>
                <w:bCs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B27DF2" w:rsidP="00B27D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12.073,02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ind w:firstLineChars="300" w:firstLine="6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Gotovina na kraju perioda (III + IV)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B27DF2" w:rsidP="00D8183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12.845,61</w:t>
            </w:r>
            <w:r w:rsidR="00912B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b/>
                <w:bCs/>
                <w:color w:val="00808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u w:val="singl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B42" w:rsidRDefault="00B27DF2" w:rsidP="00B27D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  <w:r w:rsidR="00877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713,44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2B42" w:rsidTr="00074225">
        <w:trPr>
          <w:trHeight w:val="435"/>
        </w:trPr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9404" w:type="dxa"/>
              <w:tblLayout w:type="fixed"/>
              <w:tblLook w:val="04A0" w:firstRow="1" w:lastRow="0" w:firstColumn="1" w:lastColumn="0" w:noHBand="0" w:noVBand="1"/>
            </w:tblPr>
            <w:tblGrid>
              <w:gridCol w:w="9404"/>
            </w:tblGrid>
            <w:tr w:rsidR="00912B42" w:rsidTr="00D8183A">
              <w:trPr>
                <w:trHeight w:val="435"/>
              </w:trPr>
              <w:tc>
                <w:tcPr>
                  <w:tcW w:w="9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12B42" w:rsidRDefault="00912B42" w:rsidP="00D818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 odgovorno za sastavljanje izvještaja</w:t>
                  </w:r>
                </w:p>
              </w:tc>
            </w:tr>
          </w:tbl>
          <w:p w:rsidR="00912B42" w:rsidRDefault="00EB0B9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Milanko Loncović, s.r.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B42" w:rsidRDefault="00912B42" w:rsidP="00D8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F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5E257A">
              <w:rPr>
                <w:rFonts w:ascii="Arial" w:hAnsi="Arial" w:cs="Arial"/>
                <w:color w:val="000000"/>
                <w:sz w:val="20"/>
                <w:szCs w:val="20"/>
              </w:rPr>
              <w:t>STARJEŠINA ORGANA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912B42" w:rsidRDefault="00EB0B9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Radovan Dragnić, s.r.</w:t>
            </w:r>
          </w:p>
        </w:tc>
      </w:tr>
      <w:tr w:rsidR="00912B42" w:rsidTr="00074225">
        <w:trPr>
          <w:trHeight w:val="435"/>
        </w:trPr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2B42" w:rsidRDefault="005E257A" w:rsidP="00D81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Nikšiću, 05.03.2024.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B42" w:rsidRDefault="00912B42" w:rsidP="00D8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2B42" w:rsidTr="005E257A">
        <w:trPr>
          <w:trHeight w:val="435"/>
        </w:trPr>
        <w:tc>
          <w:tcPr>
            <w:tcW w:w="9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B42" w:rsidRDefault="00912B42" w:rsidP="00B27D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2B42" w:rsidTr="00074225">
        <w:trPr>
          <w:trHeight w:val="450"/>
        </w:trPr>
        <w:tc>
          <w:tcPr>
            <w:tcW w:w="9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B42" w:rsidRDefault="00912B42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4FA6" w:rsidRPr="000F02AB" w:rsidRDefault="00ED4FA6" w:rsidP="00ED4FA6">
            <w:pPr>
              <w:autoSpaceDE w:val="0"/>
              <w:autoSpaceDN w:val="0"/>
              <w:adjustRightInd w:val="0"/>
              <w:ind w:left="585" w:hanging="135"/>
              <w:jc w:val="right"/>
              <w:rPr>
                <w:rFonts w:ascii="Arial" w:hAnsi="Arial" w:cs="Arial"/>
                <w:b/>
                <w:color w:val="000000"/>
              </w:rPr>
            </w:pPr>
            <w:r w:rsidRPr="000F02AB">
              <w:rPr>
                <w:rFonts w:ascii="Arial" w:hAnsi="Arial" w:cs="Arial"/>
                <w:b/>
                <w:color w:val="000000"/>
              </w:rPr>
              <w:t xml:space="preserve">Obrazac </w:t>
            </w:r>
            <w:r>
              <w:rPr>
                <w:rFonts w:ascii="Arial" w:hAnsi="Arial" w:cs="Arial"/>
                <w:b/>
                <w:color w:val="000000"/>
              </w:rPr>
              <w:t>5</w:t>
            </w:r>
          </w:p>
          <w:p w:rsidR="00ED4FA6" w:rsidRDefault="00ED4FA6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8505" w:type="dxa"/>
              <w:tblLayout w:type="fixed"/>
              <w:tblLook w:val="0000" w:firstRow="0" w:lastRow="0" w:firstColumn="0" w:lastColumn="0" w:noHBand="0" w:noVBand="0"/>
            </w:tblPr>
            <w:tblGrid>
              <w:gridCol w:w="771"/>
              <w:gridCol w:w="182"/>
              <w:gridCol w:w="4354"/>
              <w:gridCol w:w="411"/>
              <w:gridCol w:w="1262"/>
              <w:gridCol w:w="79"/>
              <w:gridCol w:w="1046"/>
              <w:gridCol w:w="400"/>
            </w:tblGrid>
            <w:tr w:rsidR="00ED4FA6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IZVJEŠTAJ O NEIZMIRENIM OBAVEZAMA</w:t>
                  </w:r>
                </w:p>
              </w:tc>
              <w:tc>
                <w:tcPr>
                  <w:tcW w:w="17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Godina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D4FA6" w:rsidRDefault="00ED4FA6" w:rsidP="00B27DF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</w:t>
                  </w:r>
                  <w:r w:rsidR="00B27DF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ED4FA6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ED4FA6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(u €)</w:t>
                  </w:r>
                </w:p>
              </w:tc>
            </w:tr>
            <w:tr w:rsidR="00ED4FA6" w:rsidRPr="00B610A7" w:rsidTr="00ED4FA6">
              <w:trPr>
                <w:trHeight w:val="1020"/>
              </w:trPr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4FA6" w:rsidRDefault="00ED4FA6" w:rsidP="00ED4F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redni broj</w:t>
                  </w:r>
                </w:p>
              </w:tc>
              <w:tc>
                <w:tcPr>
                  <w:tcW w:w="4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4FA6" w:rsidRDefault="00ED4FA6" w:rsidP="00ED4F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4FA6" w:rsidRPr="00B536C4" w:rsidRDefault="00ED4FA6" w:rsidP="00ED4F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B536C4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Stanje obaveza na dan 31.12.prethodne godine</w:t>
                  </w:r>
                </w:p>
              </w:tc>
              <w:tc>
                <w:tcPr>
                  <w:tcW w:w="152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4FA6" w:rsidRPr="00B536C4" w:rsidRDefault="00ED4FA6" w:rsidP="00ED4F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B536C4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Stanje obaveza na kraju izvještajnog perioda</w:t>
                  </w:r>
                </w:p>
              </w:tc>
            </w:tr>
            <w:tr w:rsidR="00ED4FA6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D4FA6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Obaveze za tekuće izdatke  (1.1+1.2+1.3)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4FA6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ind w:firstLineChars="100" w:firstLine="20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B536C4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Obaveze za bruto zarade i doprinose na teret poslodavca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ED4FA6" w:rsidRPr="00B610A7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ind w:firstLineChars="100" w:firstLine="20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B536C4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Obaveze za ostala lična primanja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ED4FA6" w:rsidRPr="00B610A7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ind w:firstLineChars="100" w:firstLine="20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B536C4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Obaveze za ostale tekuće izdatke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ED4FA6" w:rsidRPr="00B610A7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B536C4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Obaveze po transferima za socijalnu zaštitu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ED4FA6" w:rsidRPr="00B610A7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B536C4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Obaveze za transfere institucijama, pojedincima i kreditima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ED4FA6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Obaveze za kapitalne izdatke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4FA6" w:rsidRPr="00B610A7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B536C4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Obaveze po pozajmicama i kreditima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ED4FA6" w:rsidRPr="00B610A7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B536C4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Obaveze po osnovu otplate dugova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ED4FA6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Obaveze iz rezervi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4FA6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B536C4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Stanje obaveza na kraju perioda  (1+2+3+4+5+6+7)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ED4FA6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4FA6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4FA6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Pr="00B536C4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B536C4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Lice odgovorno za  sastavljanje izvještaja</w:t>
                  </w:r>
                </w:p>
              </w:tc>
              <w:tc>
                <w:tcPr>
                  <w:tcW w:w="17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Ovlašćeno lice,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4FA6" w:rsidTr="00ED4FA6">
              <w:trPr>
                <w:trHeight w:val="255"/>
              </w:trPr>
              <w:tc>
                <w:tcPr>
                  <w:tcW w:w="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A65451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Milanko Loncović, s.r.</w:t>
                  </w:r>
                </w:p>
              </w:tc>
              <w:tc>
                <w:tcPr>
                  <w:tcW w:w="31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A65451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Radovan Dragnić, s.r.</w:t>
                  </w:r>
                </w:p>
              </w:tc>
            </w:tr>
            <w:tr w:rsidR="00ED4FA6" w:rsidTr="00ED4FA6">
              <w:trPr>
                <w:gridAfter w:val="1"/>
                <w:wAfter w:w="400" w:type="dxa"/>
                <w:trHeight w:val="255"/>
              </w:trPr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D4FA6" w:rsidRDefault="00ED4FA6" w:rsidP="00ED4F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D4FA6" w:rsidRDefault="00ED4FA6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4FA6" w:rsidRDefault="00ED4FA6" w:rsidP="00D81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2B42" w:rsidRDefault="00912B42" w:rsidP="005F4AED">
      <w:pPr>
        <w:jc w:val="both"/>
        <w:rPr>
          <w:rFonts w:ascii="Arial" w:hAnsi="Arial" w:cs="Arial"/>
          <w:sz w:val="24"/>
          <w:szCs w:val="24"/>
        </w:rPr>
      </w:pPr>
    </w:p>
    <w:p w:rsidR="007C334C" w:rsidRDefault="007C334C" w:rsidP="007D6D72">
      <w:pPr>
        <w:jc w:val="both"/>
        <w:rPr>
          <w:rFonts w:ascii="Arial" w:hAnsi="Arial" w:cs="Arial"/>
          <w:sz w:val="24"/>
          <w:szCs w:val="24"/>
        </w:rPr>
      </w:pPr>
    </w:p>
    <w:p w:rsidR="007D6D72" w:rsidRPr="007D6D72" w:rsidRDefault="007C334C" w:rsidP="007D6D7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R</w:t>
      </w:r>
      <w:r w:rsidR="007D6D72" w:rsidRPr="007D6D72">
        <w:rPr>
          <w:rFonts w:ascii="Arial" w:hAnsi="Arial" w:cs="Arial"/>
          <w:sz w:val="24"/>
          <w:szCs w:val="24"/>
        </w:rPr>
        <w:t>ekapitulacija  podataka</w:t>
      </w:r>
      <w:proofErr w:type="gramEnd"/>
      <w:r w:rsidR="007D6D72" w:rsidRPr="007D6D72">
        <w:rPr>
          <w:rFonts w:ascii="Arial" w:hAnsi="Arial" w:cs="Arial"/>
          <w:sz w:val="24"/>
          <w:szCs w:val="24"/>
        </w:rPr>
        <w:t xml:space="preserve"> iz Izvještaja o novčanim tokovima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D6D72">
        <w:rPr>
          <w:rFonts w:ascii="Arial" w:hAnsi="Arial" w:cs="Arial"/>
          <w:sz w:val="24"/>
          <w:szCs w:val="24"/>
        </w:rPr>
        <w:t>1.U</w:t>
      </w:r>
      <w:proofErr w:type="gramEnd"/>
      <w:r w:rsidRPr="007D6D72">
        <w:rPr>
          <w:rFonts w:ascii="Arial" w:hAnsi="Arial" w:cs="Arial"/>
          <w:sz w:val="24"/>
          <w:szCs w:val="24"/>
        </w:rPr>
        <w:t xml:space="preserve"> dijelu koji se odnosi na primitke stavke izvještaja o novčanim tokovima čine: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1.1. Transferi iz Budžeta Opštine Nikšić: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 xml:space="preserve">Primici uplaćeni </w:t>
      </w:r>
      <w:proofErr w:type="gramStart"/>
      <w:r w:rsidRPr="007D6D72">
        <w:rPr>
          <w:rFonts w:ascii="Arial" w:hAnsi="Arial" w:cs="Arial"/>
          <w:sz w:val="24"/>
          <w:szCs w:val="24"/>
        </w:rPr>
        <w:t>od</w:t>
      </w:r>
      <w:proofErr w:type="gramEnd"/>
      <w:r w:rsidRPr="007D6D72">
        <w:rPr>
          <w:rFonts w:ascii="Arial" w:hAnsi="Arial" w:cs="Arial"/>
          <w:sz w:val="24"/>
          <w:szCs w:val="24"/>
        </w:rPr>
        <w:t xml:space="preserve"> strane Budžeta Opštine Nikšić: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1. Transferi po osnovu bruto zarade i doprinosa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="005E257A">
        <w:rPr>
          <w:rFonts w:ascii="Arial" w:hAnsi="Arial" w:cs="Arial"/>
          <w:sz w:val="24"/>
          <w:szCs w:val="24"/>
        </w:rPr>
        <w:t>362</w:t>
      </w:r>
      <w:r w:rsidRPr="007D6D72">
        <w:rPr>
          <w:rFonts w:ascii="Arial" w:hAnsi="Arial" w:cs="Arial"/>
          <w:sz w:val="24"/>
          <w:szCs w:val="24"/>
        </w:rPr>
        <w:t>.</w:t>
      </w:r>
      <w:r w:rsidR="005E257A">
        <w:rPr>
          <w:rFonts w:ascii="Arial" w:hAnsi="Arial" w:cs="Arial"/>
          <w:sz w:val="24"/>
          <w:szCs w:val="24"/>
        </w:rPr>
        <w:t>288</w:t>
      </w:r>
      <w:r w:rsidRPr="007D6D72">
        <w:rPr>
          <w:rFonts w:ascii="Arial" w:hAnsi="Arial" w:cs="Arial"/>
          <w:sz w:val="24"/>
          <w:szCs w:val="24"/>
        </w:rPr>
        <w:t>.</w:t>
      </w:r>
      <w:r w:rsidR="005E257A">
        <w:rPr>
          <w:rFonts w:ascii="Arial" w:hAnsi="Arial" w:cs="Arial"/>
          <w:sz w:val="24"/>
          <w:szCs w:val="24"/>
        </w:rPr>
        <w:t>81</w:t>
      </w:r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2. Transferi po osnovu reprograma poreskog duga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 1.</w:t>
      </w:r>
      <w:r w:rsidR="005E257A">
        <w:rPr>
          <w:rFonts w:ascii="Arial" w:hAnsi="Arial" w:cs="Arial"/>
          <w:sz w:val="24"/>
          <w:szCs w:val="24"/>
        </w:rPr>
        <w:t>741</w:t>
      </w:r>
      <w:proofErr w:type="gramStart"/>
      <w:r w:rsidRPr="007D6D72">
        <w:rPr>
          <w:rFonts w:ascii="Arial" w:hAnsi="Arial" w:cs="Arial"/>
          <w:sz w:val="24"/>
          <w:szCs w:val="24"/>
        </w:rPr>
        <w:t>,</w:t>
      </w:r>
      <w:r w:rsidR="005E257A">
        <w:rPr>
          <w:rFonts w:ascii="Arial" w:hAnsi="Arial" w:cs="Arial"/>
          <w:sz w:val="24"/>
          <w:szCs w:val="24"/>
        </w:rPr>
        <w:t>32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 xml:space="preserve">3. Transferi po </w:t>
      </w:r>
      <w:proofErr w:type="gramStart"/>
      <w:r w:rsidRPr="007D6D72">
        <w:rPr>
          <w:rFonts w:ascii="Arial" w:hAnsi="Arial" w:cs="Arial"/>
          <w:sz w:val="24"/>
          <w:szCs w:val="24"/>
        </w:rPr>
        <w:t>osnovu  komunalnih</w:t>
      </w:r>
      <w:proofErr w:type="gramEnd"/>
      <w:r w:rsidRPr="007D6D72">
        <w:rPr>
          <w:rFonts w:ascii="Arial" w:hAnsi="Arial" w:cs="Arial"/>
          <w:sz w:val="24"/>
          <w:szCs w:val="24"/>
        </w:rPr>
        <w:t xml:space="preserve"> usluga i drugo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 </w:t>
      </w:r>
      <w:r w:rsidR="00877DB3">
        <w:rPr>
          <w:rFonts w:ascii="Arial" w:hAnsi="Arial" w:cs="Arial"/>
          <w:sz w:val="24"/>
          <w:szCs w:val="24"/>
        </w:rPr>
        <w:t xml:space="preserve">         </w:t>
      </w:r>
      <w:r w:rsidR="005E257A">
        <w:rPr>
          <w:rFonts w:ascii="Arial" w:hAnsi="Arial" w:cs="Arial"/>
          <w:sz w:val="24"/>
          <w:szCs w:val="24"/>
        </w:rPr>
        <w:t>47</w:t>
      </w:r>
      <w:r w:rsidR="00877DB3">
        <w:rPr>
          <w:rFonts w:ascii="Arial" w:hAnsi="Arial" w:cs="Arial"/>
          <w:sz w:val="24"/>
          <w:szCs w:val="24"/>
        </w:rPr>
        <w:t>.</w:t>
      </w:r>
      <w:r w:rsidR="005E257A">
        <w:rPr>
          <w:rFonts w:ascii="Arial" w:hAnsi="Arial" w:cs="Arial"/>
          <w:sz w:val="24"/>
          <w:szCs w:val="24"/>
        </w:rPr>
        <w:t>423,53</w:t>
      </w:r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Ukupno 1.1.:  </w:t>
      </w:r>
      <w:r w:rsidR="005E257A">
        <w:rPr>
          <w:rFonts w:ascii="Arial" w:hAnsi="Arial" w:cs="Arial"/>
          <w:sz w:val="24"/>
          <w:szCs w:val="24"/>
        </w:rPr>
        <w:t>411</w:t>
      </w:r>
      <w:r w:rsidRPr="007D6D72">
        <w:rPr>
          <w:rFonts w:ascii="Arial" w:hAnsi="Arial" w:cs="Arial"/>
          <w:sz w:val="24"/>
          <w:szCs w:val="24"/>
        </w:rPr>
        <w:t>.</w:t>
      </w:r>
      <w:r w:rsidR="005E257A">
        <w:rPr>
          <w:rFonts w:ascii="Arial" w:hAnsi="Arial" w:cs="Arial"/>
          <w:sz w:val="24"/>
          <w:szCs w:val="24"/>
        </w:rPr>
        <w:t>453</w:t>
      </w:r>
      <w:proofErr w:type="gramStart"/>
      <w:r w:rsidR="00957583">
        <w:rPr>
          <w:rFonts w:ascii="Arial" w:hAnsi="Arial" w:cs="Arial"/>
          <w:sz w:val="24"/>
          <w:szCs w:val="24"/>
        </w:rPr>
        <w:t>,</w:t>
      </w:r>
      <w:r w:rsidR="005E257A">
        <w:rPr>
          <w:rFonts w:ascii="Arial" w:hAnsi="Arial" w:cs="Arial"/>
          <w:sz w:val="24"/>
          <w:szCs w:val="24"/>
        </w:rPr>
        <w:t>66</w:t>
      </w:r>
      <w:proofErr w:type="gramEnd"/>
      <w:r w:rsidRPr="007D6D72">
        <w:rPr>
          <w:rFonts w:ascii="Arial" w:hAnsi="Arial" w:cs="Arial"/>
          <w:sz w:val="24"/>
          <w:szCs w:val="24"/>
        </w:rPr>
        <w:t xml:space="preserve">€ 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1.2. Namjenski prihodi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1.2.1. Transferi Ministarstva rada i socijalnog staranja:</w:t>
      </w:r>
      <w:r w:rsidRPr="007D6D72">
        <w:rPr>
          <w:rFonts w:ascii="Arial" w:hAnsi="Arial" w:cs="Arial"/>
          <w:sz w:val="24"/>
          <w:szCs w:val="24"/>
        </w:rPr>
        <w:tab/>
        <w:t xml:space="preserve">  </w:t>
      </w:r>
      <w:r w:rsidR="00957583">
        <w:rPr>
          <w:rFonts w:ascii="Arial" w:hAnsi="Arial" w:cs="Arial"/>
          <w:sz w:val="24"/>
          <w:szCs w:val="24"/>
        </w:rPr>
        <w:t xml:space="preserve">             </w:t>
      </w:r>
      <w:r w:rsidR="005E257A">
        <w:rPr>
          <w:rFonts w:ascii="Arial" w:hAnsi="Arial" w:cs="Arial"/>
          <w:sz w:val="24"/>
          <w:szCs w:val="24"/>
        </w:rPr>
        <w:t xml:space="preserve">    </w:t>
      </w:r>
      <w:r w:rsidR="00957583">
        <w:rPr>
          <w:rFonts w:ascii="Arial" w:hAnsi="Arial" w:cs="Arial"/>
          <w:sz w:val="24"/>
          <w:szCs w:val="24"/>
        </w:rPr>
        <w:t xml:space="preserve">   </w:t>
      </w:r>
      <w:r w:rsidR="005E257A">
        <w:rPr>
          <w:rFonts w:ascii="Arial" w:hAnsi="Arial" w:cs="Arial"/>
          <w:sz w:val="24"/>
          <w:szCs w:val="24"/>
        </w:rPr>
        <w:t>103</w:t>
      </w:r>
      <w:r w:rsidR="00957583">
        <w:rPr>
          <w:rFonts w:ascii="Arial" w:hAnsi="Arial" w:cs="Arial"/>
          <w:sz w:val="24"/>
          <w:szCs w:val="24"/>
        </w:rPr>
        <w:t>.</w:t>
      </w:r>
      <w:r w:rsidR="005E257A">
        <w:rPr>
          <w:rFonts w:ascii="Arial" w:hAnsi="Arial" w:cs="Arial"/>
          <w:sz w:val="24"/>
          <w:szCs w:val="24"/>
        </w:rPr>
        <w:t>505</w:t>
      </w:r>
      <w:proofErr w:type="gramStart"/>
      <w:r w:rsidRPr="007D6D72">
        <w:rPr>
          <w:rFonts w:ascii="Arial" w:hAnsi="Arial" w:cs="Arial"/>
          <w:sz w:val="24"/>
          <w:szCs w:val="24"/>
        </w:rPr>
        <w:t>,</w:t>
      </w:r>
      <w:r w:rsidR="00957583">
        <w:rPr>
          <w:rFonts w:ascii="Arial" w:hAnsi="Arial" w:cs="Arial"/>
          <w:sz w:val="24"/>
          <w:szCs w:val="24"/>
        </w:rPr>
        <w:t>00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  <w:r w:rsidRPr="007D6D72">
        <w:rPr>
          <w:rFonts w:ascii="Arial" w:hAnsi="Arial" w:cs="Arial"/>
          <w:sz w:val="24"/>
          <w:szCs w:val="24"/>
        </w:rPr>
        <w:tab/>
      </w:r>
    </w:p>
    <w:p w:rsid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1.2.2. Prihodi po osnovu projekata</w:t>
      </w:r>
      <w:r w:rsidR="00957583">
        <w:rPr>
          <w:rFonts w:ascii="Arial" w:hAnsi="Arial" w:cs="Arial"/>
          <w:sz w:val="24"/>
          <w:szCs w:val="24"/>
        </w:rPr>
        <w:t xml:space="preserve"> javnog </w:t>
      </w:r>
      <w:proofErr w:type="gramStart"/>
      <w:r w:rsidR="00957583">
        <w:rPr>
          <w:rFonts w:ascii="Arial" w:hAnsi="Arial" w:cs="Arial"/>
          <w:sz w:val="24"/>
          <w:szCs w:val="24"/>
        </w:rPr>
        <w:t xml:space="preserve">rada </w:t>
      </w:r>
      <w:r w:rsidRPr="007D6D72">
        <w:rPr>
          <w:rFonts w:ascii="Arial" w:hAnsi="Arial" w:cs="Arial"/>
          <w:sz w:val="24"/>
          <w:szCs w:val="24"/>
        </w:rPr>
        <w:t xml:space="preserve"> ZZZCG</w:t>
      </w:r>
      <w:proofErr w:type="gramEnd"/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</w:t>
      </w:r>
      <w:r w:rsidR="005E257A">
        <w:rPr>
          <w:rFonts w:ascii="Arial" w:hAnsi="Arial" w:cs="Arial"/>
          <w:sz w:val="24"/>
          <w:szCs w:val="24"/>
        </w:rPr>
        <w:t>30</w:t>
      </w:r>
      <w:r w:rsidRPr="007D6D72">
        <w:rPr>
          <w:rFonts w:ascii="Arial" w:hAnsi="Arial" w:cs="Arial"/>
          <w:sz w:val="24"/>
          <w:szCs w:val="24"/>
        </w:rPr>
        <w:t>.</w:t>
      </w:r>
      <w:r w:rsidR="005E257A">
        <w:rPr>
          <w:rFonts w:ascii="Arial" w:hAnsi="Arial" w:cs="Arial"/>
          <w:sz w:val="24"/>
          <w:szCs w:val="24"/>
        </w:rPr>
        <w:t>675,79</w:t>
      </w:r>
      <w:r w:rsidRPr="007D6D72">
        <w:rPr>
          <w:rFonts w:ascii="Arial" w:hAnsi="Arial" w:cs="Arial"/>
          <w:sz w:val="24"/>
          <w:szCs w:val="24"/>
        </w:rPr>
        <w:t>€</w:t>
      </w:r>
    </w:p>
    <w:p w:rsidR="005E257A" w:rsidRPr="007D6D72" w:rsidRDefault="005E257A" w:rsidP="007D6D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1.2.3. Prihodi od IPA projekta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  35.656</w:t>
      </w:r>
      <w:proofErr w:type="gramStart"/>
      <w:r>
        <w:rPr>
          <w:rFonts w:ascii="Arial" w:hAnsi="Arial" w:cs="Arial"/>
          <w:sz w:val="24"/>
          <w:szCs w:val="24"/>
        </w:rPr>
        <w:t>,38</w:t>
      </w:r>
      <w:proofErr w:type="gramEnd"/>
      <w:r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Ukupno 1.2.: </w:t>
      </w:r>
      <w:r w:rsidR="005E257A">
        <w:rPr>
          <w:rFonts w:ascii="Arial" w:hAnsi="Arial" w:cs="Arial"/>
          <w:sz w:val="24"/>
          <w:szCs w:val="24"/>
        </w:rPr>
        <w:t xml:space="preserve"> 196</w:t>
      </w:r>
      <w:r w:rsidRPr="007D6D72">
        <w:rPr>
          <w:rFonts w:ascii="Arial" w:hAnsi="Arial" w:cs="Arial"/>
          <w:sz w:val="24"/>
          <w:szCs w:val="24"/>
        </w:rPr>
        <w:t>.</w:t>
      </w:r>
      <w:r w:rsidR="005E257A">
        <w:rPr>
          <w:rFonts w:ascii="Arial" w:hAnsi="Arial" w:cs="Arial"/>
          <w:sz w:val="24"/>
          <w:szCs w:val="24"/>
        </w:rPr>
        <w:t>873</w:t>
      </w:r>
      <w:proofErr w:type="gramStart"/>
      <w:r w:rsidRPr="007D6D72">
        <w:rPr>
          <w:rFonts w:ascii="Arial" w:hAnsi="Arial" w:cs="Arial"/>
          <w:sz w:val="24"/>
          <w:szCs w:val="24"/>
        </w:rPr>
        <w:t>,</w:t>
      </w:r>
      <w:r w:rsidR="005E257A">
        <w:rPr>
          <w:rFonts w:ascii="Arial" w:hAnsi="Arial" w:cs="Arial"/>
          <w:sz w:val="24"/>
          <w:szCs w:val="24"/>
        </w:rPr>
        <w:t>1</w:t>
      </w:r>
      <w:r w:rsidR="00957583">
        <w:rPr>
          <w:rFonts w:ascii="Arial" w:hAnsi="Arial" w:cs="Arial"/>
          <w:sz w:val="24"/>
          <w:szCs w:val="24"/>
        </w:rPr>
        <w:t>7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1.4 Donacije: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 xml:space="preserve">1.4.1.. Donacije 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="005E257A">
        <w:rPr>
          <w:rFonts w:ascii="Arial" w:hAnsi="Arial" w:cs="Arial"/>
          <w:sz w:val="24"/>
          <w:szCs w:val="24"/>
        </w:rPr>
        <w:t>9.468</w:t>
      </w:r>
      <w:proofErr w:type="gramStart"/>
      <w:r w:rsidR="005E257A">
        <w:rPr>
          <w:rFonts w:ascii="Arial" w:hAnsi="Arial" w:cs="Arial"/>
          <w:sz w:val="24"/>
          <w:szCs w:val="24"/>
        </w:rPr>
        <w:t>,05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1.4.2. Uplate po osnovu odlaganja krivičnog postupka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 </w:t>
      </w:r>
      <w:r w:rsidR="00957583">
        <w:rPr>
          <w:rFonts w:ascii="Arial" w:hAnsi="Arial" w:cs="Arial"/>
          <w:sz w:val="24"/>
          <w:szCs w:val="24"/>
        </w:rPr>
        <w:t xml:space="preserve">            </w:t>
      </w:r>
      <w:r w:rsidR="005E257A">
        <w:rPr>
          <w:rFonts w:ascii="Arial" w:hAnsi="Arial" w:cs="Arial"/>
          <w:sz w:val="24"/>
          <w:szCs w:val="24"/>
        </w:rPr>
        <w:t>3.600</w:t>
      </w:r>
      <w:proofErr w:type="gramStart"/>
      <w:r w:rsidRPr="007D6D72">
        <w:rPr>
          <w:rFonts w:ascii="Arial" w:hAnsi="Arial" w:cs="Arial"/>
          <w:sz w:val="24"/>
          <w:szCs w:val="24"/>
        </w:rPr>
        <w:t>,00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 xml:space="preserve"> 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Ukupno 1.4.:    </w:t>
      </w:r>
      <w:r w:rsidR="00B33E01">
        <w:rPr>
          <w:rFonts w:ascii="Arial" w:hAnsi="Arial" w:cs="Arial"/>
          <w:sz w:val="24"/>
          <w:szCs w:val="24"/>
        </w:rPr>
        <w:t>13.068</w:t>
      </w:r>
      <w:proofErr w:type="gramStart"/>
      <w:r w:rsidRPr="007D6D72">
        <w:rPr>
          <w:rFonts w:ascii="Arial" w:hAnsi="Arial" w:cs="Arial"/>
          <w:sz w:val="24"/>
          <w:szCs w:val="24"/>
        </w:rPr>
        <w:t>,0</w:t>
      </w:r>
      <w:r w:rsidR="00B33E01">
        <w:rPr>
          <w:rFonts w:ascii="Arial" w:hAnsi="Arial" w:cs="Arial"/>
          <w:sz w:val="24"/>
          <w:szCs w:val="24"/>
        </w:rPr>
        <w:t>5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 xml:space="preserve">                                                    Ukupno 1.</w:t>
      </w:r>
      <w:r w:rsidR="00B33E01">
        <w:rPr>
          <w:rFonts w:ascii="Arial" w:hAnsi="Arial" w:cs="Arial"/>
          <w:sz w:val="24"/>
          <w:szCs w:val="24"/>
        </w:rPr>
        <w:t xml:space="preserve">       </w:t>
      </w:r>
      <w:r w:rsidR="00B33E01">
        <w:rPr>
          <w:rFonts w:ascii="Arial" w:hAnsi="Arial" w:cs="Arial"/>
          <w:sz w:val="24"/>
          <w:szCs w:val="24"/>
        </w:rPr>
        <w:tab/>
      </w:r>
      <w:r w:rsidR="00B33E01">
        <w:rPr>
          <w:rFonts w:ascii="Arial" w:hAnsi="Arial" w:cs="Arial"/>
          <w:sz w:val="24"/>
          <w:szCs w:val="24"/>
        </w:rPr>
        <w:tab/>
      </w:r>
      <w:r w:rsidR="00B33E01">
        <w:rPr>
          <w:rFonts w:ascii="Arial" w:hAnsi="Arial" w:cs="Arial"/>
          <w:sz w:val="24"/>
          <w:szCs w:val="24"/>
        </w:rPr>
        <w:tab/>
        <w:t xml:space="preserve">         </w:t>
      </w:r>
      <w:r w:rsidRPr="007D6D72">
        <w:rPr>
          <w:rFonts w:ascii="Arial" w:hAnsi="Arial" w:cs="Arial"/>
          <w:sz w:val="24"/>
          <w:szCs w:val="24"/>
        </w:rPr>
        <w:t xml:space="preserve"> </w:t>
      </w:r>
      <w:r w:rsidR="00957583">
        <w:rPr>
          <w:rFonts w:ascii="Arial" w:hAnsi="Arial" w:cs="Arial"/>
          <w:sz w:val="24"/>
          <w:szCs w:val="24"/>
        </w:rPr>
        <w:t xml:space="preserve">  </w:t>
      </w:r>
      <w:r w:rsidR="00B33E01">
        <w:rPr>
          <w:rFonts w:ascii="Arial" w:hAnsi="Arial" w:cs="Arial"/>
          <w:sz w:val="24"/>
          <w:szCs w:val="24"/>
        </w:rPr>
        <w:t>594</w:t>
      </w:r>
      <w:r w:rsidRPr="007D6D72">
        <w:rPr>
          <w:rFonts w:ascii="Arial" w:hAnsi="Arial" w:cs="Arial"/>
          <w:sz w:val="24"/>
          <w:szCs w:val="24"/>
        </w:rPr>
        <w:t>.</w:t>
      </w:r>
      <w:r w:rsidR="00B33E01">
        <w:rPr>
          <w:rFonts w:ascii="Arial" w:hAnsi="Arial" w:cs="Arial"/>
          <w:sz w:val="24"/>
          <w:szCs w:val="24"/>
        </w:rPr>
        <w:t>358</w:t>
      </w:r>
      <w:proofErr w:type="gramStart"/>
      <w:r w:rsidRPr="007D6D72">
        <w:rPr>
          <w:rFonts w:ascii="Arial" w:hAnsi="Arial" w:cs="Arial"/>
          <w:sz w:val="24"/>
          <w:szCs w:val="24"/>
        </w:rPr>
        <w:t>,</w:t>
      </w:r>
      <w:r w:rsidR="00B33E01">
        <w:rPr>
          <w:rFonts w:ascii="Arial" w:hAnsi="Arial" w:cs="Arial"/>
          <w:sz w:val="24"/>
          <w:szCs w:val="24"/>
        </w:rPr>
        <w:t>88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 xml:space="preserve">2. U dijelu koji se odnosi </w:t>
      </w:r>
      <w:proofErr w:type="gramStart"/>
      <w:r w:rsidRPr="007D6D72">
        <w:rPr>
          <w:rFonts w:ascii="Arial" w:hAnsi="Arial" w:cs="Arial"/>
          <w:sz w:val="24"/>
          <w:szCs w:val="24"/>
        </w:rPr>
        <w:t>na</w:t>
      </w:r>
      <w:proofErr w:type="gramEnd"/>
      <w:r w:rsidRPr="007D6D72">
        <w:rPr>
          <w:rFonts w:ascii="Arial" w:hAnsi="Arial" w:cs="Arial"/>
          <w:sz w:val="24"/>
          <w:szCs w:val="24"/>
        </w:rPr>
        <w:t xml:space="preserve"> izdatke stavke izvještaja o novčanim tokovima čine: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2.1. Tekući izdaci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2.1.1. Bruto zarade i doprinosi na teret poslodavca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   </w:t>
      </w:r>
      <w:r w:rsidR="00B33E01">
        <w:rPr>
          <w:rFonts w:ascii="Arial" w:hAnsi="Arial" w:cs="Arial"/>
          <w:sz w:val="24"/>
          <w:szCs w:val="24"/>
        </w:rPr>
        <w:t xml:space="preserve">      401.903</w:t>
      </w:r>
      <w:proofErr w:type="gramStart"/>
      <w:r w:rsidR="00B33E01">
        <w:rPr>
          <w:rFonts w:ascii="Arial" w:hAnsi="Arial" w:cs="Arial"/>
          <w:sz w:val="24"/>
          <w:szCs w:val="24"/>
        </w:rPr>
        <w:t>,60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2.1.2. Ostala primanja: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ab/>
        <w:t>2.1.2.1. Troškovi nadoknada za članstvo u Upravnom odboru</w:t>
      </w:r>
      <w:r w:rsidR="00B33E01">
        <w:rPr>
          <w:rFonts w:ascii="Arial" w:hAnsi="Arial" w:cs="Arial"/>
          <w:sz w:val="24"/>
          <w:szCs w:val="24"/>
        </w:rPr>
        <w:t xml:space="preserve">     </w:t>
      </w:r>
      <w:r w:rsidR="00957583">
        <w:rPr>
          <w:rFonts w:ascii="Arial" w:hAnsi="Arial" w:cs="Arial"/>
          <w:sz w:val="24"/>
          <w:szCs w:val="24"/>
        </w:rPr>
        <w:t>1.815</w:t>
      </w:r>
      <w:proofErr w:type="gramStart"/>
      <w:r w:rsidR="00957583">
        <w:rPr>
          <w:rFonts w:ascii="Arial" w:hAnsi="Arial" w:cs="Arial"/>
          <w:sz w:val="24"/>
          <w:szCs w:val="24"/>
        </w:rPr>
        <w:t>,00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ab/>
        <w:t>2.1.2.2. Troškovi službenih putovanja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</w:t>
      </w:r>
      <w:r w:rsidR="00957583">
        <w:rPr>
          <w:rFonts w:ascii="Arial" w:hAnsi="Arial" w:cs="Arial"/>
          <w:sz w:val="24"/>
          <w:szCs w:val="24"/>
        </w:rPr>
        <w:t xml:space="preserve">    </w:t>
      </w:r>
      <w:r w:rsidRPr="007D6D72">
        <w:rPr>
          <w:rFonts w:ascii="Arial" w:hAnsi="Arial" w:cs="Arial"/>
          <w:sz w:val="24"/>
          <w:szCs w:val="24"/>
        </w:rPr>
        <w:t xml:space="preserve"> </w:t>
      </w:r>
      <w:r w:rsidR="00957583">
        <w:rPr>
          <w:rFonts w:ascii="Arial" w:hAnsi="Arial" w:cs="Arial"/>
          <w:sz w:val="24"/>
          <w:szCs w:val="24"/>
        </w:rPr>
        <w:t xml:space="preserve"> </w:t>
      </w:r>
      <w:r w:rsidR="00B33E01">
        <w:rPr>
          <w:rFonts w:ascii="Arial" w:hAnsi="Arial" w:cs="Arial"/>
          <w:sz w:val="24"/>
          <w:szCs w:val="24"/>
        </w:rPr>
        <w:t>607</w:t>
      </w:r>
      <w:proofErr w:type="gramStart"/>
      <w:r w:rsidR="00957583">
        <w:rPr>
          <w:rFonts w:ascii="Arial" w:hAnsi="Arial" w:cs="Arial"/>
          <w:sz w:val="24"/>
          <w:szCs w:val="24"/>
        </w:rPr>
        <w:t>,</w:t>
      </w:r>
      <w:r w:rsidR="00B33E01">
        <w:rPr>
          <w:rFonts w:ascii="Arial" w:hAnsi="Arial" w:cs="Arial"/>
          <w:sz w:val="24"/>
          <w:szCs w:val="24"/>
        </w:rPr>
        <w:t>30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2359F7" w:rsidRDefault="004E60E3" w:rsidP="004E60E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2.1.2.3. Zimnica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33E0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4.</w:t>
      </w:r>
      <w:r w:rsidR="00B33E0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00</w:t>
      </w:r>
      <w:proofErr w:type="gramStart"/>
      <w:r>
        <w:rPr>
          <w:rFonts w:ascii="Arial" w:hAnsi="Arial" w:cs="Arial"/>
          <w:sz w:val="24"/>
          <w:szCs w:val="24"/>
        </w:rPr>
        <w:t>,00</w:t>
      </w:r>
      <w:proofErr w:type="gramEnd"/>
      <w:r>
        <w:rPr>
          <w:rFonts w:ascii="Arial" w:hAnsi="Arial" w:cs="Arial"/>
          <w:sz w:val="24"/>
          <w:szCs w:val="24"/>
        </w:rPr>
        <w:t>€</w:t>
      </w:r>
    </w:p>
    <w:p w:rsidR="004E60E3" w:rsidRPr="007D6D72" w:rsidRDefault="002359F7" w:rsidP="00B33E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2.1.2.4. Osmi mart</w:t>
      </w:r>
      <w:r>
        <w:rPr>
          <w:rFonts w:ascii="Arial" w:hAnsi="Arial" w:cs="Arial"/>
          <w:sz w:val="24"/>
          <w:szCs w:val="24"/>
        </w:rPr>
        <w:tab/>
      </w:r>
      <w:r w:rsidR="00B33E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33E01">
        <w:rPr>
          <w:rFonts w:ascii="Arial" w:hAnsi="Arial" w:cs="Arial"/>
          <w:sz w:val="24"/>
          <w:szCs w:val="24"/>
        </w:rPr>
        <w:tab/>
      </w:r>
      <w:r w:rsidR="00B33E01">
        <w:rPr>
          <w:rFonts w:ascii="Arial" w:hAnsi="Arial" w:cs="Arial"/>
          <w:sz w:val="24"/>
          <w:szCs w:val="24"/>
        </w:rPr>
        <w:tab/>
      </w:r>
      <w:r w:rsidR="00B33E01">
        <w:rPr>
          <w:rFonts w:ascii="Arial" w:hAnsi="Arial" w:cs="Arial"/>
          <w:sz w:val="24"/>
          <w:szCs w:val="24"/>
        </w:rPr>
        <w:tab/>
      </w:r>
      <w:r w:rsidR="00B33E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</w:t>
      </w:r>
      <w:r w:rsidR="00B33E01">
        <w:rPr>
          <w:rFonts w:ascii="Arial" w:hAnsi="Arial" w:cs="Arial"/>
          <w:sz w:val="24"/>
          <w:szCs w:val="24"/>
        </w:rPr>
        <w:t>550</w:t>
      </w:r>
      <w:proofErr w:type="gramStart"/>
      <w:r>
        <w:rPr>
          <w:rFonts w:ascii="Arial" w:hAnsi="Arial" w:cs="Arial"/>
          <w:sz w:val="24"/>
          <w:szCs w:val="24"/>
        </w:rPr>
        <w:t>,00</w:t>
      </w:r>
      <w:proofErr w:type="gramEnd"/>
      <w:r>
        <w:rPr>
          <w:rFonts w:ascii="Arial" w:hAnsi="Arial" w:cs="Arial"/>
          <w:sz w:val="24"/>
          <w:szCs w:val="24"/>
        </w:rPr>
        <w:t>€</w:t>
      </w:r>
      <w:r w:rsidR="004E60E3">
        <w:rPr>
          <w:rFonts w:ascii="Arial" w:hAnsi="Arial" w:cs="Arial"/>
          <w:sz w:val="24"/>
          <w:szCs w:val="24"/>
        </w:rPr>
        <w:tab/>
      </w:r>
      <w:r w:rsidR="004E60E3">
        <w:rPr>
          <w:rFonts w:ascii="Arial" w:hAnsi="Arial" w:cs="Arial"/>
          <w:sz w:val="24"/>
          <w:szCs w:val="24"/>
        </w:rPr>
        <w:tab/>
      </w:r>
      <w:r w:rsidR="004E60E3">
        <w:rPr>
          <w:rFonts w:ascii="Arial" w:hAnsi="Arial" w:cs="Arial"/>
          <w:sz w:val="24"/>
          <w:szCs w:val="24"/>
        </w:rPr>
        <w:tab/>
      </w:r>
      <w:r w:rsidR="004E60E3">
        <w:rPr>
          <w:rFonts w:ascii="Arial" w:hAnsi="Arial" w:cs="Arial"/>
          <w:sz w:val="24"/>
          <w:szCs w:val="24"/>
        </w:rPr>
        <w:tab/>
      </w:r>
      <w:r w:rsidR="004E60E3">
        <w:rPr>
          <w:rFonts w:ascii="Arial" w:hAnsi="Arial" w:cs="Arial"/>
          <w:sz w:val="24"/>
          <w:szCs w:val="24"/>
        </w:rPr>
        <w:tab/>
      </w:r>
      <w:r w:rsidR="004E60E3">
        <w:rPr>
          <w:rFonts w:ascii="Arial" w:hAnsi="Arial" w:cs="Arial"/>
          <w:sz w:val="24"/>
          <w:szCs w:val="24"/>
        </w:rPr>
        <w:tab/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ab/>
        <w:t xml:space="preserve">   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Ukupno 2.1.2.:         </w:t>
      </w:r>
      <w:r w:rsidR="00B33E01">
        <w:rPr>
          <w:rFonts w:ascii="Arial" w:hAnsi="Arial" w:cs="Arial"/>
          <w:sz w:val="24"/>
          <w:szCs w:val="24"/>
        </w:rPr>
        <w:t>10</w:t>
      </w:r>
      <w:r w:rsidRPr="007D6D72">
        <w:rPr>
          <w:rFonts w:ascii="Arial" w:hAnsi="Arial" w:cs="Arial"/>
          <w:sz w:val="24"/>
          <w:szCs w:val="24"/>
        </w:rPr>
        <w:t>.</w:t>
      </w:r>
      <w:r w:rsidR="00B33E01">
        <w:rPr>
          <w:rFonts w:ascii="Arial" w:hAnsi="Arial" w:cs="Arial"/>
          <w:sz w:val="24"/>
          <w:szCs w:val="24"/>
        </w:rPr>
        <w:t>172</w:t>
      </w:r>
      <w:proofErr w:type="gramStart"/>
      <w:r w:rsidR="00B33E01">
        <w:rPr>
          <w:rFonts w:ascii="Arial" w:hAnsi="Arial" w:cs="Arial"/>
          <w:sz w:val="24"/>
          <w:szCs w:val="24"/>
        </w:rPr>
        <w:t>,30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2.1.3. Rashodi za materijal i usluge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1. Troškovi ishrane korisnika</w:t>
      </w:r>
      <w:r w:rsidR="00B33E01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  <w:t xml:space="preserve">       </w:t>
      </w:r>
      <w:r w:rsidR="00B33E01">
        <w:rPr>
          <w:rFonts w:ascii="Arial" w:hAnsi="Arial" w:cs="Arial"/>
          <w:sz w:val="24"/>
          <w:szCs w:val="24"/>
        </w:rPr>
        <w:t>20</w:t>
      </w:r>
      <w:r w:rsidRPr="007D6D72">
        <w:rPr>
          <w:rFonts w:ascii="Arial" w:hAnsi="Arial" w:cs="Arial"/>
          <w:sz w:val="24"/>
          <w:szCs w:val="24"/>
        </w:rPr>
        <w:t>.</w:t>
      </w:r>
      <w:r w:rsidR="00B33E01">
        <w:rPr>
          <w:rFonts w:ascii="Arial" w:hAnsi="Arial" w:cs="Arial"/>
          <w:sz w:val="24"/>
          <w:szCs w:val="24"/>
        </w:rPr>
        <w:t>650</w:t>
      </w:r>
      <w:proofErr w:type="gramStart"/>
      <w:r w:rsidR="00B33E01">
        <w:rPr>
          <w:rFonts w:ascii="Arial" w:hAnsi="Arial" w:cs="Arial"/>
          <w:sz w:val="24"/>
          <w:szCs w:val="24"/>
        </w:rPr>
        <w:t>,91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2. Troškovi održavanja higijene</w:t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C5350C">
        <w:rPr>
          <w:rFonts w:ascii="Arial" w:hAnsi="Arial" w:cs="Arial"/>
          <w:sz w:val="24"/>
          <w:szCs w:val="24"/>
        </w:rPr>
        <w:t xml:space="preserve">  </w:t>
      </w:r>
      <w:r w:rsidR="00706699">
        <w:rPr>
          <w:rFonts w:ascii="Arial" w:hAnsi="Arial" w:cs="Arial"/>
          <w:sz w:val="24"/>
          <w:szCs w:val="24"/>
        </w:rPr>
        <w:t xml:space="preserve">      </w:t>
      </w:r>
      <w:r w:rsidR="00C5350C">
        <w:rPr>
          <w:rFonts w:ascii="Arial" w:hAnsi="Arial" w:cs="Arial"/>
          <w:sz w:val="24"/>
          <w:szCs w:val="24"/>
        </w:rPr>
        <w:t xml:space="preserve"> </w:t>
      </w:r>
      <w:r w:rsidR="00B33E01">
        <w:rPr>
          <w:rFonts w:ascii="Arial" w:hAnsi="Arial" w:cs="Arial"/>
          <w:sz w:val="24"/>
          <w:szCs w:val="24"/>
        </w:rPr>
        <w:t>2</w:t>
      </w:r>
      <w:r w:rsidRPr="007D6D72">
        <w:rPr>
          <w:rFonts w:ascii="Arial" w:hAnsi="Arial" w:cs="Arial"/>
          <w:sz w:val="24"/>
          <w:szCs w:val="24"/>
        </w:rPr>
        <w:t>.</w:t>
      </w:r>
      <w:r w:rsidR="00B33E01">
        <w:rPr>
          <w:rFonts w:ascii="Arial" w:hAnsi="Arial" w:cs="Arial"/>
          <w:sz w:val="24"/>
          <w:szCs w:val="24"/>
        </w:rPr>
        <w:t>269</w:t>
      </w:r>
      <w:proofErr w:type="gramStart"/>
      <w:r w:rsidR="00B33E01">
        <w:rPr>
          <w:rFonts w:ascii="Arial" w:hAnsi="Arial" w:cs="Arial"/>
          <w:sz w:val="24"/>
          <w:szCs w:val="24"/>
        </w:rPr>
        <w:t>,75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3. Troškovi održavanja vozila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 xml:space="preserve">  </w:t>
      </w:r>
      <w:r w:rsidR="00706699">
        <w:rPr>
          <w:rFonts w:ascii="Arial" w:hAnsi="Arial" w:cs="Arial"/>
          <w:sz w:val="24"/>
          <w:szCs w:val="24"/>
        </w:rPr>
        <w:t xml:space="preserve">      6</w:t>
      </w:r>
      <w:r w:rsidRPr="007D6D72">
        <w:rPr>
          <w:rFonts w:ascii="Arial" w:hAnsi="Arial" w:cs="Arial"/>
          <w:sz w:val="24"/>
          <w:szCs w:val="24"/>
        </w:rPr>
        <w:t>.</w:t>
      </w:r>
      <w:r w:rsidR="00706699">
        <w:rPr>
          <w:rFonts w:ascii="Arial" w:hAnsi="Arial" w:cs="Arial"/>
          <w:sz w:val="24"/>
          <w:szCs w:val="24"/>
        </w:rPr>
        <w:t>986</w:t>
      </w:r>
      <w:proofErr w:type="gramStart"/>
      <w:r w:rsidR="00706699">
        <w:rPr>
          <w:rFonts w:ascii="Arial" w:hAnsi="Arial" w:cs="Arial"/>
          <w:sz w:val="24"/>
          <w:szCs w:val="24"/>
        </w:rPr>
        <w:t>,91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4. Troškovi osiguranja i registracije vozila</w:t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  <w:t xml:space="preserve">          </w:t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C5350C">
        <w:rPr>
          <w:rFonts w:ascii="Arial" w:hAnsi="Arial" w:cs="Arial"/>
          <w:sz w:val="24"/>
          <w:szCs w:val="24"/>
        </w:rPr>
        <w:t xml:space="preserve">  </w:t>
      </w:r>
      <w:r w:rsidR="00706699">
        <w:rPr>
          <w:rFonts w:ascii="Arial" w:hAnsi="Arial" w:cs="Arial"/>
          <w:sz w:val="24"/>
          <w:szCs w:val="24"/>
        </w:rPr>
        <w:t xml:space="preserve">     </w:t>
      </w:r>
      <w:r w:rsidR="00C5350C">
        <w:rPr>
          <w:rFonts w:ascii="Arial" w:hAnsi="Arial" w:cs="Arial"/>
          <w:sz w:val="24"/>
          <w:szCs w:val="24"/>
        </w:rPr>
        <w:t xml:space="preserve"> 1.0</w:t>
      </w:r>
      <w:r w:rsidR="00706699">
        <w:rPr>
          <w:rFonts w:ascii="Arial" w:hAnsi="Arial" w:cs="Arial"/>
          <w:sz w:val="24"/>
          <w:szCs w:val="24"/>
        </w:rPr>
        <w:t>36</w:t>
      </w:r>
      <w:proofErr w:type="gramStart"/>
      <w:r w:rsidR="00706699">
        <w:rPr>
          <w:rFonts w:ascii="Arial" w:hAnsi="Arial" w:cs="Arial"/>
          <w:sz w:val="24"/>
          <w:szCs w:val="24"/>
        </w:rPr>
        <w:t>,19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06699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 xml:space="preserve">5. Troškovi el. energije i komun. </w:t>
      </w:r>
      <w:proofErr w:type="gramStart"/>
      <w:r w:rsidRPr="007D6D72">
        <w:rPr>
          <w:rFonts w:ascii="Arial" w:hAnsi="Arial" w:cs="Arial"/>
          <w:sz w:val="24"/>
          <w:szCs w:val="24"/>
        </w:rPr>
        <w:t>usluga</w:t>
      </w:r>
      <w:proofErr w:type="gramEnd"/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C5350C">
        <w:rPr>
          <w:rFonts w:ascii="Arial" w:hAnsi="Arial" w:cs="Arial"/>
          <w:sz w:val="24"/>
          <w:szCs w:val="24"/>
        </w:rPr>
        <w:t xml:space="preserve">   </w:t>
      </w:r>
      <w:r w:rsidR="00706699">
        <w:rPr>
          <w:rFonts w:ascii="Arial" w:hAnsi="Arial" w:cs="Arial"/>
          <w:sz w:val="24"/>
          <w:szCs w:val="24"/>
        </w:rPr>
        <w:t xml:space="preserve">     </w:t>
      </w:r>
      <w:r w:rsidRPr="007D6D72">
        <w:rPr>
          <w:rFonts w:ascii="Arial" w:hAnsi="Arial" w:cs="Arial"/>
          <w:sz w:val="24"/>
          <w:szCs w:val="24"/>
        </w:rPr>
        <w:t>3.</w:t>
      </w:r>
      <w:r w:rsidR="00706699">
        <w:rPr>
          <w:rFonts w:ascii="Arial" w:hAnsi="Arial" w:cs="Arial"/>
          <w:sz w:val="24"/>
          <w:szCs w:val="24"/>
        </w:rPr>
        <w:t>283</w:t>
      </w:r>
      <w:r w:rsidR="00C5350C">
        <w:rPr>
          <w:rFonts w:ascii="Arial" w:hAnsi="Arial" w:cs="Arial"/>
          <w:sz w:val="24"/>
          <w:szCs w:val="24"/>
        </w:rPr>
        <w:t>,</w:t>
      </w:r>
      <w:r w:rsidR="00706699">
        <w:rPr>
          <w:rFonts w:ascii="Arial" w:hAnsi="Arial" w:cs="Arial"/>
          <w:sz w:val="24"/>
          <w:szCs w:val="24"/>
        </w:rPr>
        <w:t>96€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6. Usluge interneta, kablovske televizije i telefonske usl.</w:t>
      </w:r>
      <w:r w:rsidR="003B7E7C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 xml:space="preserve">  </w:t>
      </w:r>
      <w:r w:rsidR="00C5350C">
        <w:rPr>
          <w:rFonts w:ascii="Arial" w:hAnsi="Arial" w:cs="Arial"/>
          <w:sz w:val="24"/>
          <w:szCs w:val="24"/>
        </w:rPr>
        <w:t xml:space="preserve">           </w:t>
      </w:r>
      <w:r w:rsidR="00706699">
        <w:rPr>
          <w:rFonts w:ascii="Arial" w:hAnsi="Arial" w:cs="Arial"/>
          <w:sz w:val="24"/>
          <w:szCs w:val="24"/>
        </w:rPr>
        <w:t xml:space="preserve">     </w:t>
      </w:r>
      <w:r w:rsidR="003B7E7C">
        <w:rPr>
          <w:rFonts w:ascii="Arial" w:hAnsi="Arial" w:cs="Arial"/>
          <w:sz w:val="24"/>
          <w:szCs w:val="24"/>
        </w:rPr>
        <w:t xml:space="preserve"> </w:t>
      </w:r>
      <w:r w:rsidR="00C5350C">
        <w:rPr>
          <w:rFonts w:ascii="Arial" w:hAnsi="Arial" w:cs="Arial"/>
          <w:sz w:val="24"/>
          <w:szCs w:val="24"/>
        </w:rPr>
        <w:t>3</w:t>
      </w:r>
      <w:r w:rsidRPr="007D6D72">
        <w:rPr>
          <w:rFonts w:ascii="Arial" w:hAnsi="Arial" w:cs="Arial"/>
          <w:sz w:val="24"/>
          <w:szCs w:val="24"/>
        </w:rPr>
        <w:t>.</w:t>
      </w:r>
      <w:r w:rsidR="00C5350C">
        <w:rPr>
          <w:rFonts w:ascii="Arial" w:hAnsi="Arial" w:cs="Arial"/>
          <w:sz w:val="24"/>
          <w:szCs w:val="24"/>
        </w:rPr>
        <w:t>03</w:t>
      </w:r>
      <w:r w:rsidR="00706699">
        <w:rPr>
          <w:rFonts w:ascii="Arial" w:hAnsi="Arial" w:cs="Arial"/>
          <w:sz w:val="24"/>
          <w:szCs w:val="24"/>
        </w:rPr>
        <w:t>6</w:t>
      </w:r>
      <w:proofErr w:type="gramStart"/>
      <w:r w:rsidR="00706699">
        <w:rPr>
          <w:rFonts w:ascii="Arial" w:hAnsi="Arial" w:cs="Arial"/>
          <w:sz w:val="24"/>
          <w:szCs w:val="24"/>
        </w:rPr>
        <w:t>,91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06699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7</w:t>
      </w:r>
      <w:r w:rsidR="00C5350C">
        <w:rPr>
          <w:rFonts w:ascii="Arial" w:hAnsi="Arial" w:cs="Arial"/>
          <w:sz w:val="24"/>
          <w:szCs w:val="24"/>
        </w:rPr>
        <w:t>. Seminari i edukacije</w:t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C5350C">
        <w:rPr>
          <w:rFonts w:ascii="Arial" w:hAnsi="Arial" w:cs="Arial"/>
          <w:sz w:val="24"/>
          <w:szCs w:val="24"/>
        </w:rPr>
        <w:t xml:space="preserve"> </w:t>
      </w:r>
      <w:r w:rsidR="00C5350C">
        <w:rPr>
          <w:rFonts w:ascii="Arial" w:hAnsi="Arial" w:cs="Arial"/>
          <w:sz w:val="24"/>
          <w:szCs w:val="24"/>
        </w:rPr>
        <w:tab/>
        <w:t xml:space="preserve"> </w:t>
      </w:r>
      <w:r w:rsidRPr="007D6D72">
        <w:rPr>
          <w:rFonts w:ascii="Arial" w:hAnsi="Arial" w:cs="Arial"/>
          <w:sz w:val="24"/>
          <w:szCs w:val="24"/>
        </w:rPr>
        <w:t xml:space="preserve"> </w:t>
      </w:r>
      <w:r w:rsidR="00706699">
        <w:rPr>
          <w:rFonts w:ascii="Arial" w:hAnsi="Arial" w:cs="Arial"/>
          <w:sz w:val="24"/>
          <w:szCs w:val="24"/>
        </w:rPr>
        <w:t xml:space="preserve">    </w:t>
      </w:r>
      <w:r w:rsidR="003B7E7C">
        <w:rPr>
          <w:rFonts w:ascii="Arial" w:hAnsi="Arial" w:cs="Arial"/>
          <w:sz w:val="24"/>
          <w:szCs w:val="24"/>
        </w:rPr>
        <w:t xml:space="preserve"> </w:t>
      </w:r>
      <w:r w:rsidR="00706699">
        <w:rPr>
          <w:rFonts w:ascii="Arial" w:hAnsi="Arial" w:cs="Arial"/>
          <w:sz w:val="24"/>
          <w:szCs w:val="24"/>
        </w:rPr>
        <w:t xml:space="preserve"> 7</w:t>
      </w:r>
      <w:r w:rsidRPr="007D6D72">
        <w:rPr>
          <w:rFonts w:ascii="Arial" w:hAnsi="Arial" w:cs="Arial"/>
          <w:sz w:val="24"/>
          <w:szCs w:val="24"/>
        </w:rPr>
        <w:t>.</w:t>
      </w:r>
      <w:r w:rsidR="00706699">
        <w:rPr>
          <w:rFonts w:ascii="Arial" w:hAnsi="Arial" w:cs="Arial"/>
          <w:sz w:val="24"/>
          <w:szCs w:val="24"/>
        </w:rPr>
        <w:t>701</w:t>
      </w:r>
      <w:proofErr w:type="gramStart"/>
      <w:r w:rsidR="00706699">
        <w:rPr>
          <w:rFonts w:ascii="Arial" w:hAnsi="Arial" w:cs="Arial"/>
          <w:sz w:val="24"/>
          <w:szCs w:val="24"/>
        </w:rPr>
        <w:t>,52</w:t>
      </w:r>
      <w:proofErr w:type="gramEnd"/>
      <w:r w:rsidR="00706699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8. Troškovi izleta i priredbi</w:t>
      </w:r>
      <w:r w:rsidR="003B7E7C">
        <w:rPr>
          <w:rFonts w:ascii="Arial" w:hAnsi="Arial" w:cs="Arial"/>
          <w:sz w:val="24"/>
          <w:szCs w:val="24"/>
        </w:rPr>
        <w:t xml:space="preserve">  </w:t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</w:r>
      <w:r w:rsidR="003B7E7C">
        <w:rPr>
          <w:rFonts w:ascii="Arial" w:hAnsi="Arial" w:cs="Arial"/>
          <w:sz w:val="24"/>
          <w:szCs w:val="24"/>
        </w:rPr>
        <w:tab/>
        <w:t xml:space="preserve">   </w:t>
      </w:r>
      <w:r w:rsidR="003B7E7C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 xml:space="preserve">   </w:t>
      </w:r>
      <w:r w:rsidR="00C5350C">
        <w:rPr>
          <w:rFonts w:ascii="Arial" w:hAnsi="Arial" w:cs="Arial"/>
          <w:sz w:val="24"/>
          <w:szCs w:val="24"/>
        </w:rPr>
        <w:t xml:space="preserve">         </w:t>
      </w:r>
      <w:r w:rsidR="007A58C7">
        <w:rPr>
          <w:rFonts w:ascii="Arial" w:hAnsi="Arial" w:cs="Arial"/>
          <w:sz w:val="24"/>
          <w:szCs w:val="24"/>
        </w:rPr>
        <w:t xml:space="preserve"> </w:t>
      </w:r>
      <w:r w:rsidR="00706699">
        <w:rPr>
          <w:rFonts w:ascii="Arial" w:hAnsi="Arial" w:cs="Arial"/>
          <w:sz w:val="24"/>
          <w:szCs w:val="24"/>
        </w:rPr>
        <w:t xml:space="preserve">  </w:t>
      </w:r>
      <w:r w:rsidR="003B7E7C">
        <w:rPr>
          <w:rFonts w:ascii="Arial" w:hAnsi="Arial" w:cs="Arial"/>
          <w:sz w:val="24"/>
          <w:szCs w:val="24"/>
        </w:rPr>
        <w:t xml:space="preserve">  </w:t>
      </w:r>
      <w:r w:rsidR="00706699">
        <w:rPr>
          <w:rFonts w:ascii="Arial" w:hAnsi="Arial" w:cs="Arial"/>
          <w:sz w:val="24"/>
          <w:szCs w:val="24"/>
        </w:rPr>
        <w:t>1</w:t>
      </w:r>
      <w:r w:rsidR="007A58C7">
        <w:rPr>
          <w:rFonts w:ascii="Arial" w:hAnsi="Arial" w:cs="Arial"/>
          <w:sz w:val="24"/>
          <w:szCs w:val="24"/>
        </w:rPr>
        <w:t>9</w:t>
      </w:r>
      <w:r w:rsidRPr="007D6D72">
        <w:rPr>
          <w:rFonts w:ascii="Arial" w:hAnsi="Arial" w:cs="Arial"/>
          <w:sz w:val="24"/>
          <w:szCs w:val="24"/>
        </w:rPr>
        <w:t>.</w:t>
      </w:r>
      <w:r w:rsidR="00706699">
        <w:rPr>
          <w:rFonts w:ascii="Arial" w:hAnsi="Arial" w:cs="Arial"/>
          <w:sz w:val="24"/>
          <w:szCs w:val="24"/>
        </w:rPr>
        <w:t>2</w:t>
      </w:r>
      <w:r w:rsidR="007A58C7">
        <w:rPr>
          <w:rFonts w:ascii="Arial" w:hAnsi="Arial" w:cs="Arial"/>
          <w:sz w:val="24"/>
          <w:szCs w:val="24"/>
        </w:rPr>
        <w:t>80</w:t>
      </w:r>
      <w:proofErr w:type="gramStart"/>
      <w:r w:rsidR="007A58C7">
        <w:rPr>
          <w:rFonts w:ascii="Arial" w:hAnsi="Arial" w:cs="Arial"/>
          <w:sz w:val="24"/>
          <w:szCs w:val="24"/>
        </w:rPr>
        <w:t>,20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 xml:space="preserve">9. Ugovorene usluge         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</w:t>
      </w:r>
      <w:r w:rsidRPr="007D6D72">
        <w:rPr>
          <w:rFonts w:ascii="Arial" w:hAnsi="Arial" w:cs="Arial"/>
          <w:sz w:val="24"/>
          <w:szCs w:val="24"/>
        </w:rPr>
        <w:tab/>
      </w:r>
      <w:r w:rsidR="00C5350C">
        <w:rPr>
          <w:rFonts w:ascii="Arial" w:hAnsi="Arial" w:cs="Arial"/>
          <w:sz w:val="24"/>
          <w:szCs w:val="24"/>
        </w:rPr>
        <w:t xml:space="preserve"> </w:t>
      </w:r>
      <w:r w:rsidRPr="007D6D72">
        <w:rPr>
          <w:rFonts w:ascii="Arial" w:hAnsi="Arial" w:cs="Arial"/>
          <w:sz w:val="24"/>
          <w:szCs w:val="24"/>
        </w:rPr>
        <w:t xml:space="preserve"> </w:t>
      </w:r>
      <w:r w:rsidR="00706699">
        <w:rPr>
          <w:rFonts w:ascii="Arial" w:hAnsi="Arial" w:cs="Arial"/>
          <w:sz w:val="24"/>
          <w:szCs w:val="24"/>
        </w:rPr>
        <w:t xml:space="preserve">   </w:t>
      </w:r>
      <w:r w:rsidR="003B7E7C">
        <w:rPr>
          <w:rFonts w:ascii="Arial" w:hAnsi="Arial" w:cs="Arial"/>
          <w:sz w:val="24"/>
          <w:szCs w:val="24"/>
        </w:rPr>
        <w:t xml:space="preserve">  </w:t>
      </w:r>
      <w:r w:rsidR="00706699">
        <w:rPr>
          <w:rFonts w:ascii="Arial" w:hAnsi="Arial" w:cs="Arial"/>
          <w:sz w:val="24"/>
          <w:szCs w:val="24"/>
        </w:rPr>
        <w:t>21</w:t>
      </w:r>
      <w:r w:rsidR="002359F7">
        <w:rPr>
          <w:rFonts w:ascii="Arial" w:hAnsi="Arial" w:cs="Arial"/>
          <w:sz w:val="24"/>
          <w:szCs w:val="24"/>
        </w:rPr>
        <w:t>.</w:t>
      </w:r>
      <w:r w:rsidR="00706699">
        <w:rPr>
          <w:rFonts w:ascii="Arial" w:hAnsi="Arial" w:cs="Arial"/>
          <w:sz w:val="24"/>
          <w:szCs w:val="24"/>
        </w:rPr>
        <w:t>405</w:t>
      </w:r>
      <w:proofErr w:type="gramStart"/>
      <w:r w:rsidR="002359F7">
        <w:rPr>
          <w:rFonts w:ascii="Arial" w:hAnsi="Arial" w:cs="Arial"/>
          <w:sz w:val="24"/>
          <w:szCs w:val="24"/>
        </w:rPr>
        <w:t>,</w:t>
      </w:r>
      <w:r w:rsidRPr="007D6D72">
        <w:rPr>
          <w:rFonts w:ascii="Arial" w:hAnsi="Arial" w:cs="Arial"/>
          <w:sz w:val="24"/>
          <w:szCs w:val="24"/>
        </w:rPr>
        <w:t>00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10. Režijski materijal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</w:t>
      </w:r>
      <w:r w:rsidRPr="007D6D72">
        <w:rPr>
          <w:rFonts w:ascii="Arial" w:hAnsi="Arial" w:cs="Arial"/>
          <w:sz w:val="24"/>
          <w:szCs w:val="24"/>
        </w:rPr>
        <w:tab/>
        <w:t xml:space="preserve">   </w:t>
      </w:r>
      <w:r w:rsidR="00C5350C">
        <w:rPr>
          <w:rFonts w:ascii="Arial" w:hAnsi="Arial" w:cs="Arial"/>
          <w:sz w:val="24"/>
          <w:szCs w:val="24"/>
        </w:rPr>
        <w:t xml:space="preserve"> </w:t>
      </w:r>
      <w:r w:rsidR="00706699">
        <w:rPr>
          <w:rFonts w:ascii="Arial" w:hAnsi="Arial" w:cs="Arial"/>
          <w:sz w:val="24"/>
          <w:szCs w:val="24"/>
        </w:rPr>
        <w:t xml:space="preserve">  </w:t>
      </w:r>
      <w:r w:rsidR="003B7E7C">
        <w:rPr>
          <w:rFonts w:ascii="Arial" w:hAnsi="Arial" w:cs="Arial"/>
          <w:sz w:val="24"/>
          <w:szCs w:val="24"/>
        </w:rPr>
        <w:t xml:space="preserve"> </w:t>
      </w:r>
      <w:r w:rsidR="007A58C7">
        <w:rPr>
          <w:rFonts w:ascii="Arial" w:hAnsi="Arial" w:cs="Arial"/>
          <w:sz w:val="24"/>
          <w:szCs w:val="24"/>
        </w:rPr>
        <w:t xml:space="preserve"> </w:t>
      </w:r>
      <w:r w:rsidR="00706699">
        <w:rPr>
          <w:rFonts w:ascii="Arial" w:hAnsi="Arial" w:cs="Arial"/>
          <w:sz w:val="24"/>
          <w:szCs w:val="24"/>
        </w:rPr>
        <w:t xml:space="preserve"> </w:t>
      </w:r>
      <w:r w:rsidR="00C5350C">
        <w:rPr>
          <w:rFonts w:ascii="Arial" w:hAnsi="Arial" w:cs="Arial"/>
          <w:sz w:val="24"/>
          <w:szCs w:val="24"/>
        </w:rPr>
        <w:t>3</w:t>
      </w:r>
      <w:r w:rsidRPr="007D6D72">
        <w:rPr>
          <w:rFonts w:ascii="Arial" w:hAnsi="Arial" w:cs="Arial"/>
          <w:sz w:val="24"/>
          <w:szCs w:val="24"/>
        </w:rPr>
        <w:t>.</w:t>
      </w:r>
      <w:r w:rsidR="00706699">
        <w:rPr>
          <w:rFonts w:ascii="Arial" w:hAnsi="Arial" w:cs="Arial"/>
          <w:sz w:val="24"/>
          <w:szCs w:val="24"/>
        </w:rPr>
        <w:t>283</w:t>
      </w:r>
      <w:proofErr w:type="gramStart"/>
      <w:r w:rsidR="00C5350C">
        <w:rPr>
          <w:rFonts w:ascii="Arial" w:hAnsi="Arial" w:cs="Arial"/>
          <w:sz w:val="24"/>
          <w:szCs w:val="24"/>
        </w:rPr>
        <w:t>,</w:t>
      </w:r>
      <w:r w:rsidR="00706699">
        <w:rPr>
          <w:rFonts w:ascii="Arial" w:hAnsi="Arial" w:cs="Arial"/>
          <w:sz w:val="24"/>
          <w:szCs w:val="24"/>
        </w:rPr>
        <w:t>76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 xml:space="preserve">11. Inventar 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   </w:t>
      </w:r>
      <w:r w:rsidRPr="007D6D72">
        <w:rPr>
          <w:rFonts w:ascii="Arial" w:hAnsi="Arial" w:cs="Arial"/>
          <w:sz w:val="24"/>
          <w:szCs w:val="24"/>
        </w:rPr>
        <w:tab/>
        <w:t xml:space="preserve"> </w:t>
      </w:r>
      <w:r w:rsidR="00C5350C">
        <w:rPr>
          <w:rFonts w:ascii="Arial" w:hAnsi="Arial" w:cs="Arial"/>
          <w:sz w:val="24"/>
          <w:szCs w:val="24"/>
        </w:rPr>
        <w:t xml:space="preserve">                </w:t>
      </w:r>
      <w:r w:rsidR="00706699">
        <w:rPr>
          <w:rFonts w:ascii="Arial" w:hAnsi="Arial" w:cs="Arial"/>
          <w:sz w:val="24"/>
          <w:szCs w:val="24"/>
        </w:rPr>
        <w:t xml:space="preserve"> </w:t>
      </w:r>
      <w:r w:rsidR="007A58C7">
        <w:rPr>
          <w:rFonts w:ascii="Arial" w:hAnsi="Arial" w:cs="Arial"/>
          <w:sz w:val="24"/>
          <w:szCs w:val="24"/>
        </w:rPr>
        <w:t xml:space="preserve">  </w:t>
      </w:r>
      <w:r w:rsidR="003B7E7C">
        <w:rPr>
          <w:rFonts w:ascii="Arial" w:hAnsi="Arial" w:cs="Arial"/>
          <w:sz w:val="24"/>
          <w:szCs w:val="24"/>
        </w:rPr>
        <w:t xml:space="preserve"> </w:t>
      </w:r>
      <w:r w:rsidR="007A58C7">
        <w:rPr>
          <w:rFonts w:ascii="Arial" w:hAnsi="Arial" w:cs="Arial"/>
          <w:sz w:val="24"/>
          <w:szCs w:val="24"/>
        </w:rPr>
        <w:t xml:space="preserve">  </w:t>
      </w:r>
      <w:r w:rsidR="00706699">
        <w:rPr>
          <w:rFonts w:ascii="Arial" w:hAnsi="Arial" w:cs="Arial"/>
          <w:sz w:val="24"/>
          <w:szCs w:val="24"/>
        </w:rPr>
        <w:t>791</w:t>
      </w:r>
      <w:proofErr w:type="gramStart"/>
      <w:r w:rsidR="00706699">
        <w:rPr>
          <w:rFonts w:ascii="Arial" w:hAnsi="Arial" w:cs="Arial"/>
          <w:sz w:val="24"/>
          <w:szCs w:val="24"/>
        </w:rPr>
        <w:t>,22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12. Kancelarijski materijal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   </w:t>
      </w:r>
      <w:r w:rsidRPr="007D6D72">
        <w:rPr>
          <w:rFonts w:ascii="Arial" w:hAnsi="Arial" w:cs="Arial"/>
          <w:sz w:val="24"/>
          <w:szCs w:val="24"/>
        </w:rPr>
        <w:tab/>
        <w:t xml:space="preserve">      </w:t>
      </w:r>
      <w:r w:rsidR="00C5350C">
        <w:rPr>
          <w:rFonts w:ascii="Arial" w:hAnsi="Arial" w:cs="Arial"/>
          <w:sz w:val="24"/>
          <w:szCs w:val="24"/>
        </w:rPr>
        <w:t xml:space="preserve">            </w:t>
      </w:r>
      <w:r w:rsidR="003B7E7C">
        <w:rPr>
          <w:rFonts w:ascii="Arial" w:hAnsi="Arial" w:cs="Arial"/>
          <w:sz w:val="24"/>
          <w:szCs w:val="24"/>
        </w:rPr>
        <w:t xml:space="preserve">  </w:t>
      </w:r>
      <w:r w:rsidR="007A58C7">
        <w:rPr>
          <w:rFonts w:ascii="Arial" w:hAnsi="Arial" w:cs="Arial"/>
          <w:sz w:val="24"/>
          <w:szCs w:val="24"/>
        </w:rPr>
        <w:t xml:space="preserve">   </w:t>
      </w:r>
      <w:r w:rsidR="00706699">
        <w:rPr>
          <w:rFonts w:ascii="Arial" w:hAnsi="Arial" w:cs="Arial"/>
          <w:sz w:val="24"/>
          <w:szCs w:val="24"/>
        </w:rPr>
        <w:t>338</w:t>
      </w:r>
      <w:proofErr w:type="gramStart"/>
      <w:r w:rsidR="00706699">
        <w:rPr>
          <w:rFonts w:ascii="Arial" w:hAnsi="Arial" w:cs="Arial"/>
          <w:sz w:val="24"/>
          <w:szCs w:val="24"/>
        </w:rPr>
        <w:t>,83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13. Didaktički materijal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 </w:t>
      </w:r>
      <w:r w:rsidRPr="007D6D72">
        <w:rPr>
          <w:rFonts w:ascii="Arial" w:hAnsi="Arial" w:cs="Arial"/>
          <w:sz w:val="24"/>
          <w:szCs w:val="24"/>
        </w:rPr>
        <w:tab/>
        <w:t xml:space="preserve"> </w:t>
      </w:r>
      <w:r w:rsidR="007A58C7">
        <w:rPr>
          <w:rFonts w:ascii="Arial" w:hAnsi="Arial" w:cs="Arial"/>
          <w:sz w:val="24"/>
          <w:szCs w:val="24"/>
        </w:rPr>
        <w:t xml:space="preserve">   </w:t>
      </w:r>
      <w:r w:rsidRPr="007D6D72">
        <w:rPr>
          <w:rFonts w:ascii="Arial" w:hAnsi="Arial" w:cs="Arial"/>
          <w:sz w:val="24"/>
          <w:szCs w:val="24"/>
        </w:rPr>
        <w:t xml:space="preserve">  </w:t>
      </w:r>
      <w:r w:rsidR="00C5350C">
        <w:rPr>
          <w:rFonts w:ascii="Arial" w:hAnsi="Arial" w:cs="Arial"/>
          <w:sz w:val="24"/>
          <w:szCs w:val="24"/>
        </w:rPr>
        <w:t xml:space="preserve">           </w:t>
      </w:r>
      <w:r w:rsidR="007A58C7">
        <w:rPr>
          <w:rFonts w:ascii="Arial" w:hAnsi="Arial" w:cs="Arial"/>
          <w:sz w:val="24"/>
          <w:szCs w:val="24"/>
        </w:rPr>
        <w:t xml:space="preserve">  </w:t>
      </w:r>
      <w:r w:rsidR="00C5350C">
        <w:rPr>
          <w:rFonts w:ascii="Arial" w:hAnsi="Arial" w:cs="Arial"/>
          <w:sz w:val="24"/>
          <w:szCs w:val="24"/>
        </w:rPr>
        <w:t xml:space="preserve"> </w:t>
      </w:r>
      <w:r w:rsidR="00706699">
        <w:rPr>
          <w:rFonts w:ascii="Arial" w:hAnsi="Arial" w:cs="Arial"/>
          <w:sz w:val="24"/>
          <w:szCs w:val="24"/>
        </w:rPr>
        <w:t>4</w:t>
      </w:r>
      <w:r w:rsidR="00C5350C">
        <w:rPr>
          <w:rFonts w:ascii="Arial" w:hAnsi="Arial" w:cs="Arial"/>
          <w:sz w:val="24"/>
          <w:szCs w:val="24"/>
        </w:rPr>
        <w:t>.0</w:t>
      </w:r>
      <w:r w:rsidR="00706699">
        <w:rPr>
          <w:rFonts w:ascii="Arial" w:hAnsi="Arial" w:cs="Arial"/>
          <w:sz w:val="24"/>
          <w:szCs w:val="24"/>
        </w:rPr>
        <w:t>16</w:t>
      </w:r>
      <w:proofErr w:type="gramStart"/>
      <w:r w:rsidRPr="007D6D72">
        <w:rPr>
          <w:rFonts w:ascii="Arial" w:hAnsi="Arial" w:cs="Arial"/>
          <w:sz w:val="24"/>
          <w:szCs w:val="24"/>
        </w:rPr>
        <w:t>,</w:t>
      </w:r>
      <w:r w:rsidR="003B7E7C">
        <w:rPr>
          <w:rFonts w:ascii="Arial" w:hAnsi="Arial" w:cs="Arial"/>
          <w:sz w:val="24"/>
          <w:szCs w:val="24"/>
        </w:rPr>
        <w:t>67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1</w:t>
      </w:r>
      <w:r w:rsidR="00145B39">
        <w:rPr>
          <w:rFonts w:ascii="Arial" w:hAnsi="Arial" w:cs="Arial"/>
          <w:sz w:val="24"/>
          <w:szCs w:val="24"/>
        </w:rPr>
        <w:t>4</w:t>
      </w:r>
      <w:r w:rsidRPr="007D6D72">
        <w:rPr>
          <w:rFonts w:ascii="Arial" w:hAnsi="Arial" w:cs="Arial"/>
          <w:sz w:val="24"/>
          <w:szCs w:val="24"/>
        </w:rPr>
        <w:t xml:space="preserve">. Troškovi osiguranja 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   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="007A58C7">
        <w:rPr>
          <w:rFonts w:ascii="Arial" w:hAnsi="Arial" w:cs="Arial"/>
          <w:sz w:val="24"/>
          <w:szCs w:val="24"/>
        </w:rPr>
        <w:t xml:space="preserve">    </w:t>
      </w:r>
      <w:r w:rsidRPr="007D6D72">
        <w:rPr>
          <w:rFonts w:ascii="Arial" w:hAnsi="Arial" w:cs="Arial"/>
          <w:sz w:val="24"/>
          <w:szCs w:val="24"/>
        </w:rPr>
        <w:tab/>
        <w:t xml:space="preserve">      </w:t>
      </w:r>
      <w:r w:rsidR="00C5350C">
        <w:rPr>
          <w:rFonts w:ascii="Arial" w:hAnsi="Arial" w:cs="Arial"/>
          <w:sz w:val="24"/>
          <w:szCs w:val="24"/>
        </w:rPr>
        <w:t xml:space="preserve"> </w:t>
      </w:r>
      <w:r w:rsidR="007A58C7">
        <w:rPr>
          <w:rFonts w:ascii="Arial" w:hAnsi="Arial" w:cs="Arial"/>
          <w:sz w:val="24"/>
          <w:szCs w:val="24"/>
        </w:rPr>
        <w:t xml:space="preserve">     </w:t>
      </w:r>
      <w:r w:rsidR="00C02681">
        <w:rPr>
          <w:rFonts w:ascii="Arial" w:hAnsi="Arial" w:cs="Arial"/>
          <w:sz w:val="24"/>
          <w:szCs w:val="24"/>
        </w:rPr>
        <w:t>357</w:t>
      </w:r>
      <w:proofErr w:type="gramStart"/>
      <w:r w:rsidR="00762A2A">
        <w:rPr>
          <w:rFonts w:ascii="Arial" w:hAnsi="Arial" w:cs="Arial"/>
          <w:sz w:val="24"/>
          <w:szCs w:val="24"/>
        </w:rPr>
        <w:t>,00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1</w:t>
      </w:r>
      <w:r w:rsidR="00145B39">
        <w:rPr>
          <w:rFonts w:ascii="Arial" w:hAnsi="Arial" w:cs="Arial"/>
          <w:sz w:val="24"/>
          <w:szCs w:val="24"/>
        </w:rPr>
        <w:t>5</w:t>
      </w:r>
      <w:r w:rsidRPr="007D6D72">
        <w:rPr>
          <w:rFonts w:ascii="Arial" w:hAnsi="Arial" w:cs="Arial"/>
          <w:sz w:val="24"/>
          <w:szCs w:val="24"/>
        </w:rPr>
        <w:t xml:space="preserve">. Troškovi sajtova i platformi za online rad 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</w:t>
      </w:r>
      <w:r w:rsidRPr="007D6D72">
        <w:rPr>
          <w:rFonts w:ascii="Arial" w:hAnsi="Arial" w:cs="Arial"/>
          <w:sz w:val="24"/>
          <w:szCs w:val="24"/>
        </w:rPr>
        <w:tab/>
        <w:t xml:space="preserve">   </w:t>
      </w:r>
      <w:r w:rsidR="00C5350C">
        <w:rPr>
          <w:rFonts w:ascii="Arial" w:hAnsi="Arial" w:cs="Arial"/>
          <w:sz w:val="24"/>
          <w:szCs w:val="24"/>
        </w:rPr>
        <w:t xml:space="preserve">              </w:t>
      </w:r>
      <w:r w:rsidR="007A58C7">
        <w:rPr>
          <w:rFonts w:ascii="Arial" w:hAnsi="Arial" w:cs="Arial"/>
          <w:sz w:val="24"/>
          <w:szCs w:val="24"/>
        </w:rPr>
        <w:t xml:space="preserve">  </w:t>
      </w:r>
      <w:r w:rsidR="00C5350C">
        <w:rPr>
          <w:rFonts w:ascii="Arial" w:hAnsi="Arial" w:cs="Arial"/>
          <w:sz w:val="24"/>
          <w:szCs w:val="24"/>
        </w:rPr>
        <w:t xml:space="preserve"> </w:t>
      </w:r>
      <w:r w:rsidR="007A58C7">
        <w:rPr>
          <w:rFonts w:ascii="Arial" w:hAnsi="Arial" w:cs="Arial"/>
          <w:sz w:val="24"/>
          <w:szCs w:val="24"/>
        </w:rPr>
        <w:t xml:space="preserve">   </w:t>
      </w:r>
      <w:r w:rsidR="00C02681">
        <w:rPr>
          <w:rFonts w:ascii="Arial" w:hAnsi="Arial" w:cs="Arial"/>
          <w:sz w:val="24"/>
          <w:szCs w:val="24"/>
        </w:rPr>
        <w:t>450</w:t>
      </w:r>
      <w:proofErr w:type="gramStart"/>
      <w:r w:rsidRPr="007D6D72">
        <w:rPr>
          <w:rFonts w:ascii="Arial" w:hAnsi="Arial" w:cs="Arial"/>
          <w:sz w:val="24"/>
          <w:szCs w:val="24"/>
        </w:rPr>
        <w:t>,</w:t>
      </w:r>
      <w:r w:rsidR="00C02681">
        <w:rPr>
          <w:rFonts w:ascii="Arial" w:hAnsi="Arial" w:cs="Arial"/>
          <w:sz w:val="24"/>
          <w:szCs w:val="24"/>
        </w:rPr>
        <w:t>00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1</w:t>
      </w:r>
      <w:r w:rsidR="00145B39">
        <w:rPr>
          <w:rFonts w:ascii="Arial" w:hAnsi="Arial" w:cs="Arial"/>
          <w:sz w:val="24"/>
          <w:szCs w:val="24"/>
        </w:rPr>
        <w:t>6</w:t>
      </w:r>
      <w:r w:rsidRPr="007D6D72">
        <w:rPr>
          <w:rFonts w:ascii="Arial" w:hAnsi="Arial" w:cs="Arial"/>
          <w:sz w:val="24"/>
          <w:szCs w:val="24"/>
        </w:rPr>
        <w:t>. Troškovi tekućeg održavanja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</w:t>
      </w:r>
      <w:r w:rsidRPr="007D6D72">
        <w:rPr>
          <w:rFonts w:ascii="Arial" w:hAnsi="Arial" w:cs="Arial"/>
          <w:sz w:val="24"/>
          <w:szCs w:val="24"/>
        </w:rPr>
        <w:tab/>
        <w:t xml:space="preserve">  </w:t>
      </w:r>
      <w:r w:rsidR="00762A2A">
        <w:rPr>
          <w:rFonts w:ascii="Arial" w:hAnsi="Arial" w:cs="Arial"/>
          <w:sz w:val="24"/>
          <w:szCs w:val="24"/>
        </w:rPr>
        <w:t xml:space="preserve">           </w:t>
      </w:r>
      <w:r w:rsidR="007A374F">
        <w:rPr>
          <w:rFonts w:ascii="Arial" w:hAnsi="Arial" w:cs="Arial"/>
          <w:sz w:val="24"/>
          <w:szCs w:val="24"/>
        </w:rPr>
        <w:t xml:space="preserve"> </w:t>
      </w:r>
      <w:r w:rsidR="00762A2A">
        <w:rPr>
          <w:rFonts w:ascii="Arial" w:hAnsi="Arial" w:cs="Arial"/>
          <w:sz w:val="24"/>
          <w:szCs w:val="24"/>
        </w:rPr>
        <w:t xml:space="preserve"> </w:t>
      </w:r>
      <w:r w:rsidR="007A58C7">
        <w:rPr>
          <w:rFonts w:ascii="Arial" w:hAnsi="Arial" w:cs="Arial"/>
          <w:sz w:val="24"/>
          <w:szCs w:val="24"/>
        </w:rPr>
        <w:t xml:space="preserve">     </w:t>
      </w:r>
      <w:r w:rsidR="00627C72">
        <w:rPr>
          <w:rFonts w:ascii="Arial" w:hAnsi="Arial" w:cs="Arial"/>
          <w:sz w:val="24"/>
          <w:szCs w:val="24"/>
        </w:rPr>
        <w:t>4</w:t>
      </w:r>
      <w:r w:rsidRPr="007D6D72">
        <w:rPr>
          <w:rFonts w:ascii="Arial" w:hAnsi="Arial" w:cs="Arial"/>
          <w:sz w:val="24"/>
          <w:szCs w:val="24"/>
        </w:rPr>
        <w:t>.</w:t>
      </w:r>
      <w:r w:rsidR="00627C72">
        <w:rPr>
          <w:rFonts w:ascii="Arial" w:hAnsi="Arial" w:cs="Arial"/>
          <w:sz w:val="24"/>
          <w:szCs w:val="24"/>
        </w:rPr>
        <w:t>068</w:t>
      </w:r>
      <w:proofErr w:type="gramStart"/>
      <w:r w:rsidR="00627C72">
        <w:rPr>
          <w:rFonts w:ascii="Arial" w:hAnsi="Arial" w:cs="Arial"/>
          <w:sz w:val="24"/>
          <w:szCs w:val="24"/>
        </w:rPr>
        <w:t>,28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1</w:t>
      </w:r>
      <w:r w:rsidR="00145B39">
        <w:rPr>
          <w:rFonts w:ascii="Arial" w:hAnsi="Arial" w:cs="Arial"/>
          <w:sz w:val="24"/>
          <w:szCs w:val="24"/>
        </w:rPr>
        <w:t>7</w:t>
      </w:r>
      <w:r w:rsidRPr="007D6D72">
        <w:rPr>
          <w:rFonts w:ascii="Arial" w:hAnsi="Arial" w:cs="Arial"/>
          <w:sz w:val="24"/>
          <w:szCs w:val="24"/>
        </w:rPr>
        <w:t xml:space="preserve">. Troškovi </w:t>
      </w:r>
      <w:r w:rsidR="007A374F">
        <w:rPr>
          <w:rFonts w:ascii="Arial" w:hAnsi="Arial" w:cs="Arial"/>
          <w:sz w:val="24"/>
          <w:szCs w:val="24"/>
        </w:rPr>
        <w:t>sudskih postupaka</w:t>
      </w:r>
      <w:r w:rsidR="00762A2A">
        <w:rPr>
          <w:rFonts w:ascii="Arial" w:hAnsi="Arial" w:cs="Arial"/>
          <w:sz w:val="24"/>
          <w:szCs w:val="24"/>
        </w:rPr>
        <w:t xml:space="preserve">  </w:t>
      </w:r>
      <w:r w:rsidR="00762A2A">
        <w:rPr>
          <w:rFonts w:ascii="Arial" w:hAnsi="Arial" w:cs="Arial"/>
          <w:sz w:val="24"/>
          <w:szCs w:val="24"/>
        </w:rPr>
        <w:tab/>
      </w:r>
      <w:r w:rsidR="00762A2A">
        <w:rPr>
          <w:rFonts w:ascii="Arial" w:hAnsi="Arial" w:cs="Arial"/>
          <w:sz w:val="24"/>
          <w:szCs w:val="24"/>
        </w:rPr>
        <w:tab/>
      </w:r>
      <w:r w:rsidR="00762A2A">
        <w:rPr>
          <w:rFonts w:ascii="Arial" w:hAnsi="Arial" w:cs="Arial"/>
          <w:sz w:val="24"/>
          <w:szCs w:val="24"/>
        </w:rPr>
        <w:tab/>
        <w:t xml:space="preserve">                 </w:t>
      </w:r>
      <w:r w:rsidR="00762A2A">
        <w:rPr>
          <w:rFonts w:ascii="Arial" w:hAnsi="Arial" w:cs="Arial"/>
          <w:sz w:val="24"/>
          <w:szCs w:val="24"/>
        </w:rPr>
        <w:tab/>
        <w:t xml:space="preserve">    </w:t>
      </w:r>
      <w:r w:rsidRPr="007D6D72">
        <w:rPr>
          <w:rFonts w:ascii="Arial" w:hAnsi="Arial" w:cs="Arial"/>
          <w:sz w:val="24"/>
          <w:szCs w:val="24"/>
        </w:rPr>
        <w:t xml:space="preserve">   </w:t>
      </w:r>
      <w:r w:rsidR="007A374F">
        <w:rPr>
          <w:rFonts w:ascii="Arial" w:hAnsi="Arial" w:cs="Arial"/>
          <w:sz w:val="24"/>
          <w:szCs w:val="24"/>
        </w:rPr>
        <w:t xml:space="preserve">        </w:t>
      </w:r>
      <w:r w:rsidR="007A58C7">
        <w:rPr>
          <w:rFonts w:ascii="Arial" w:hAnsi="Arial" w:cs="Arial"/>
          <w:sz w:val="24"/>
          <w:szCs w:val="24"/>
        </w:rPr>
        <w:t xml:space="preserve">     </w:t>
      </w:r>
      <w:r w:rsidR="007A374F">
        <w:rPr>
          <w:rFonts w:ascii="Arial" w:hAnsi="Arial" w:cs="Arial"/>
          <w:sz w:val="24"/>
          <w:szCs w:val="24"/>
        </w:rPr>
        <w:t>3.242</w:t>
      </w:r>
      <w:proofErr w:type="gramStart"/>
      <w:r w:rsidR="007A374F">
        <w:rPr>
          <w:rFonts w:ascii="Arial" w:hAnsi="Arial" w:cs="Arial"/>
          <w:sz w:val="24"/>
          <w:szCs w:val="24"/>
        </w:rPr>
        <w:t>,00</w:t>
      </w:r>
      <w:proofErr w:type="gramEnd"/>
      <w:r w:rsidR="007A374F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1</w:t>
      </w:r>
      <w:r w:rsidR="00145B39">
        <w:rPr>
          <w:rFonts w:ascii="Arial" w:hAnsi="Arial" w:cs="Arial"/>
          <w:sz w:val="24"/>
          <w:szCs w:val="24"/>
        </w:rPr>
        <w:t>8</w:t>
      </w:r>
      <w:r w:rsidRPr="007D6D72">
        <w:rPr>
          <w:rFonts w:ascii="Arial" w:hAnsi="Arial" w:cs="Arial"/>
          <w:sz w:val="24"/>
          <w:szCs w:val="24"/>
        </w:rPr>
        <w:t>. Troškovi goriva za vozila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</w:t>
      </w:r>
      <w:r w:rsidRPr="007D6D72">
        <w:rPr>
          <w:rFonts w:ascii="Arial" w:hAnsi="Arial" w:cs="Arial"/>
          <w:sz w:val="24"/>
          <w:szCs w:val="24"/>
        </w:rPr>
        <w:tab/>
        <w:t xml:space="preserve">  </w:t>
      </w:r>
      <w:r w:rsidR="007A58C7">
        <w:rPr>
          <w:rFonts w:ascii="Arial" w:hAnsi="Arial" w:cs="Arial"/>
          <w:sz w:val="24"/>
          <w:szCs w:val="24"/>
        </w:rPr>
        <w:t xml:space="preserve">     </w:t>
      </w:r>
      <w:r w:rsidRPr="007D6D72">
        <w:rPr>
          <w:rFonts w:ascii="Arial" w:hAnsi="Arial" w:cs="Arial"/>
          <w:sz w:val="24"/>
          <w:szCs w:val="24"/>
        </w:rPr>
        <w:t xml:space="preserve"> </w:t>
      </w:r>
      <w:r w:rsidR="00762A2A">
        <w:rPr>
          <w:rFonts w:ascii="Arial" w:hAnsi="Arial" w:cs="Arial"/>
          <w:sz w:val="24"/>
          <w:szCs w:val="24"/>
        </w:rPr>
        <w:t xml:space="preserve"> 7</w:t>
      </w:r>
      <w:r w:rsidRPr="007D6D72">
        <w:rPr>
          <w:rFonts w:ascii="Arial" w:hAnsi="Arial" w:cs="Arial"/>
          <w:sz w:val="24"/>
          <w:szCs w:val="24"/>
        </w:rPr>
        <w:t>.</w:t>
      </w:r>
      <w:r w:rsidR="007A374F">
        <w:rPr>
          <w:rFonts w:ascii="Arial" w:hAnsi="Arial" w:cs="Arial"/>
          <w:sz w:val="24"/>
          <w:szCs w:val="24"/>
        </w:rPr>
        <w:t>652</w:t>
      </w:r>
      <w:proofErr w:type="gramStart"/>
      <w:r w:rsidR="007A374F">
        <w:rPr>
          <w:rFonts w:ascii="Arial" w:hAnsi="Arial" w:cs="Arial"/>
          <w:sz w:val="24"/>
          <w:szCs w:val="24"/>
        </w:rPr>
        <w:t>,36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Default="00145B39" w:rsidP="007D6D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7D6D72" w:rsidRPr="004E60E3">
        <w:rPr>
          <w:rFonts w:ascii="Arial" w:hAnsi="Arial" w:cs="Arial"/>
          <w:sz w:val="24"/>
          <w:szCs w:val="24"/>
        </w:rPr>
        <w:t xml:space="preserve">. </w:t>
      </w:r>
      <w:r w:rsidR="007A58C7">
        <w:rPr>
          <w:rFonts w:ascii="Arial" w:hAnsi="Arial" w:cs="Arial"/>
          <w:sz w:val="24"/>
          <w:szCs w:val="24"/>
        </w:rPr>
        <w:t>Certifikati</w:t>
      </w:r>
      <w:r w:rsidR="007D6D72" w:rsidRPr="004E60E3">
        <w:rPr>
          <w:rFonts w:ascii="Arial" w:hAnsi="Arial" w:cs="Arial"/>
          <w:sz w:val="24"/>
          <w:szCs w:val="24"/>
        </w:rPr>
        <w:tab/>
      </w:r>
      <w:r w:rsidR="007D6D72" w:rsidRPr="004E60E3">
        <w:rPr>
          <w:rFonts w:ascii="Arial" w:hAnsi="Arial" w:cs="Arial"/>
          <w:sz w:val="24"/>
          <w:szCs w:val="24"/>
        </w:rPr>
        <w:tab/>
      </w:r>
      <w:r w:rsidR="007D6D72" w:rsidRPr="004E60E3">
        <w:rPr>
          <w:rFonts w:ascii="Arial" w:hAnsi="Arial" w:cs="Arial"/>
          <w:sz w:val="24"/>
          <w:szCs w:val="24"/>
        </w:rPr>
        <w:tab/>
        <w:t xml:space="preserve">            </w:t>
      </w:r>
      <w:r w:rsidR="007D6D72" w:rsidRPr="004E60E3">
        <w:rPr>
          <w:rFonts w:ascii="Arial" w:hAnsi="Arial" w:cs="Arial"/>
          <w:sz w:val="24"/>
          <w:szCs w:val="24"/>
        </w:rPr>
        <w:tab/>
        <w:t xml:space="preserve">      </w:t>
      </w:r>
      <w:r w:rsidR="007D6D72" w:rsidRPr="004E60E3">
        <w:rPr>
          <w:rFonts w:ascii="Arial" w:hAnsi="Arial" w:cs="Arial"/>
          <w:sz w:val="24"/>
          <w:szCs w:val="24"/>
        </w:rPr>
        <w:tab/>
        <w:t xml:space="preserve">    </w:t>
      </w:r>
      <w:r w:rsidR="007A58C7">
        <w:rPr>
          <w:rFonts w:ascii="Arial" w:hAnsi="Arial" w:cs="Arial"/>
          <w:sz w:val="24"/>
          <w:szCs w:val="24"/>
        </w:rPr>
        <w:t xml:space="preserve">     </w:t>
      </w:r>
      <w:r w:rsidR="00762A2A" w:rsidRPr="004E60E3">
        <w:rPr>
          <w:rFonts w:ascii="Arial" w:hAnsi="Arial" w:cs="Arial"/>
          <w:sz w:val="24"/>
          <w:szCs w:val="24"/>
        </w:rPr>
        <w:t xml:space="preserve">  </w:t>
      </w:r>
      <w:r w:rsidR="007A58C7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7A58C7">
        <w:rPr>
          <w:rFonts w:ascii="Arial" w:hAnsi="Arial" w:cs="Arial"/>
          <w:sz w:val="24"/>
          <w:szCs w:val="24"/>
        </w:rPr>
        <w:t>137</w:t>
      </w:r>
      <w:proofErr w:type="gramStart"/>
      <w:r w:rsidR="007A58C7">
        <w:rPr>
          <w:rFonts w:ascii="Arial" w:hAnsi="Arial" w:cs="Arial"/>
          <w:sz w:val="24"/>
          <w:szCs w:val="24"/>
        </w:rPr>
        <w:t>,83</w:t>
      </w:r>
      <w:proofErr w:type="gramEnd"/>
      <w:r w:rsidR="007D6D72" w:rsidRPr="004E60E3">
        <w:rPr>
          <w:rFonts w:ascii="Arial" w:hAnsi="Arial" w:cs="Arial"/>
          <w:sz w:val="24"/>
          <w:szCs w:val="24"/>
        </w:rPr>
        <w:t>€</w:t>
      </w:r>
    </w:p>
    <w:p w:rsidR="00762A2A" w:rsidRDefault="00762A2A" w:rsidP="007D6D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45B3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Troškovi medicinskih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7A58C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="00627C72">
        <w:rPr>
          <w:rFonts w:ascii="Arial" w:hAnsi="Arial" w:cs="Arial"/>
          <w:sz w:val="24"/>
          <w:szCs w:val="24"/>
        </w:rPr>
        <w:t>552</w:t>
      </w:r>
      <w:proofErr w:type="gramStart"/>
      <w:r w:rsidR="00627C72">
        <w:rPr>
          <w:rFonts w:ascii="Arial" w:hAnsi="Arial" w:cs="Arial"/>
          <w:sz w:val="24"/>
          <w:szCs w:val="24"/>
        </w:rPr>
        <w:t>,81</w:t>
      </w:r>
      <w:proofErr w:type="gramEnd"/>
      <w:r>
        <w:rPr>
          <w:rFonts w:ascii="Arial" w:hAnsi="Arial" w:cs="Arial"/>
          <w:sz w:val="24"/>
          <w:szCs w:val="24"/>
        </w:rPr>
        <w:t>€</w:t>
      </w:r>
    </w:p>
    <w:p w:rsidR="00762A2A" w:rsidRDefault="00762A2A" w:rsidP="007D6D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45B3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Nabavka uniformi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 w:rsidR="007A58C7">
        <w:rPr>
          <w:rFonts w:ascii="Arial" w:hAnsi="Arial" w:cs="Arial"/>
          <w:sz w:val="24"/>
          <w:szCs w:val="24"/>
        </w:rPr>
        <w:t xml:space="preserve">         118</w:t>
      </w:r>
      <w:proofErr w:type="gramStart"/>
      <w:r w:rsidR="007A58C7">
        <w:rPr>
          <w:rFonts w:ascii="Arial" w:hAnsi="Arial" w:cs="Arial"/>
          <w:sz w:val="24"/>
          <w:szCs w:val="24"/>
        </w:rPr>
        <w:t>,58</w:t>
      </w:r>
      <w:proofErr w:type="gramEnd"/>
      <w:r w:rsidR="007A58C7">
        <w:rPr>
          <w:rFonts w:ascii="Arial" w:hAnsi="Arial" w:cs="Arial"/>
          <w:sz w:val="24"/>
          <w:szCs w:val="24"/>
        </w:rPr>
        <w:t>€</w:t>
      </w:r>
    </w:p>
    <w:p w:rsidR="00762A2A" w:rsidRDefault="00762A2A" w:rsidP="007D6D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45B3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Troškovi izrade projekata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7A58C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</w:t>
      </w:r>
      <w:r w:rsidR="007A58C7">
        <w:rPr>
          <w:rFonts w:ascii="Arial" w:hAnsi="Arial" w:cs="Arial"/>
          <w:sz w:val="24"/>
          <w:szCs w:val="24"/>
        </w:rPr>
        <w:t>182</w:t>
      </w:r>
      <w:proofErr w:type="gramStart"/>
      <w:r w:rsidR="007A58C7">
        <w:rPr>
          <w:rFonts w:ascii="Arial" w:hAnsi="Arial" w:cs="Arial"/>
          <w:sz w:val="24"/>
          <w:szCs w:val="24"/>
        </w:rPr>
        <w:t>,72</w:t>
      </w:r>
      <w:proofErr w:type="gramEnd"/>
      <w:r>
        <w:rPr>
          <w:rFonts w:ascii="Arial" w:hAnsi="Arial" w:cs="Arial"/>
          <w:sz w:val="24"/>
          <w:szCs w:val="24"/>
        </w:rPr>
        <w:t>€</w:t>
      </w:r>
    </w:p>
    <w:p w:rsidR="00EC3CB1" w:rsidRDefault="00EC3CB1" w:rsidP="007D6D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45B3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Kulturni događaji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7A58C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208</w:t>
      </w:r>
      <w:proofErr w:type="gramStart"/>
      <w:r>
        <w:rPr>
          <w:rFonts w:ascii="Arial" w:hAnsi="Arial" w:cs="Arial"/>
          <w:sz w:val="24"/>
          <w:szCs w:val="24"/>
        </w:rPr>
        <w:t>,00</w:t>
      </w:r>
      <w:proofErr w:type="gramEnd"/>
      <w:r>
        <w:rPr>
          <w:rFonts w:ascii="Arial" w:hAnsi="Arial" w:cs="Arial"/>
          <w:sz w:val="24"/>
          <w:szCs w:val="24"/>
        </w:rPr>
        <w:t>€</w:t>
      </w:r>
    </w:p>
    <w:p w:rsidR="00EC3CB1" w:rsidRPr="007D6D72" w:rsidRDefault="00EC3CB1" w:rsidP="007D6D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45B3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627C72">
        <w:rPr>
          <w:rFonts w:ascii="Arial" w:hAnsi="Arial" w:cs="Arial"/>
          <w:sz w:val="24"/>
          <w:szCs w:val="24"/>
        </w:rPr>
        <w:t>Nabavka putničkog vozila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7A58C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627C72">
        <w:rPr>
          <w:rFonts w:ascii="Arial" w:hAnsi="Arial" w:cs="Arial"/>
          <w:sz w:val="24"/>
          <w:szCs w:val="24"/>
        </w:rPr>
        <w:t>6.000</w:t>
      </w:r>
      <w:proofErr w:type="gramStart"/>
      <w:r w:rsidR="00627C72">
        <w:rPr>
          <w:rFonts w:ascii="Arial" w:hAnsi="Arial" w:cs="Arial"/>
          <w:sz w:val="24"/>
          <w:szCs w:val="24"/>
        </w:rPr>
        <w:t>,00</w:t>
      </w:r>
      <w:proofErr w:type="gramEnd"/>
      <w:r w:rsidR="00627C72">
        <w:rPr>
          <w:rFonts w:ascii="Arial" w:hAnsi="Arial" w:cs="Arial"/>
          <w:sz w:val="24"/>
          <w:szCs w:val="24"/>
        </w:rPr>
        <w:t>€</w:t>
      </w:r>
    </w:p>
    <w:p w:rsid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2</w:t>
      </w:r>
      <w:r w:rsidR="00145B39">
        <w:rPr>
          <w:rFonts w:ascii="Arial" w:hAnsi="Arial" w:cs="Arial"/>
          <w:sz w:val="24"/>
          <w:szCs w:val="24"/>
        </w:rPr>
        <w:t>5</w:t>
      </w:r>
      <w:r w:rsidRPr="007D6D72">
        <w:rPr>
          <w:rFonts w:ascii="Arial" w:hAnsi="Arial" w:cs="Arial"/>
          <w:sz w:val="24"/>
          <w:szCs w:val="24"/>
        </w:rPr>
        <w:t>. Reprezentacija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  </w:t>
      </w:r>
      <w:r w:rsidRPr="007D6D72">
        <w:rPr>
          <w:rFonts w:ascii="Arial" w:hAnsi="Arial" w:cs="Arial"/>
          <w:sz w:val="24"/>
          <w:szCs w:val="24"/>
        </w:rPr>
        <w:tab/>
      </w:r>
      <w:r w:rsidR="00762A2A">
        <w:rPr>
          <w:rFonts w:ascii="Arial" w:hAnsi="Arial" w:cs="Arial"/>
          <w:sz w:val="24"/>
          <w:szCs w:val="24"/>
        </w:rPr>
        <w:t xml:space="preserve">             </w:t>
      </w:r>
      <w:r w:rsidRPr="007D6D72">
        <w:rPr>
          <w:rFonts w:ascii="Arial" w:hAnsi="Arial" w:cs="Arial"/>
          <w:sz w:val="24"/>
          <w:szCs w:val="24"/>
        </w:rPr>
        <w:t xml:space="preserve">   </w:t>
      </w:r>
      <w:r w:rsidR="007A58C7">
        <w:rPr>
          <w:rFonts w:ascii="Arial" w:hAnsi="Arial" w:cs="Arial"/>
          <w:sz w:val="24"/>
          <w:szCs w:val="24"/>
        </w:rPr>
        <w:t xml:space="preserve">      </w:t>
      </w:r>
      <w:r w:rsidRPr="007D6D72">
        <w:rPr>
          <w:rFonts w:ascii="Arial" w:hAnsi="Arial" w:cs="Arial"/>
          <w:sz w:val="24"/>
          <w:szCs w:val="24"/>
        </w:rPr>
        <w:t xml:space="preserve"> 6</w:t>
      </w:r>
      <w:r w:rsidR="00627C72">
        <w:rPr>
          <w:rFonts w:ascii="Arial" w:hAnsi="Arial" w:cs="Arial"/>
          <w:sz w:val="24"/>
          <w:szCs w:val="24"/>
        </w:rPr>
        <w:t>15</w:t>
      </w:r>
      <w:proofErr w:type="gramStart"/>
      <w:r w:rsidR="00627C72">
        <w:rPr>
          <w:rFonts w:ascii="Arial" w:hAnsi="Arial" w:cs="Arial"/>
          <w:sz w:val="24"/>
          <w:szCs w:val="24"/>
        </w:rPr>
        <w:t>,70</w:t>
      </w:r>
      <w:proofErr w:type="gramEnd"/>
      <w:r w:rsidRPr="007D6D72">
        <w:rPr>
          <w:rFonts w:ascii="Arial" w:hAnsi="Arial" w:cs="Arial"/>
          <w:sz w:val="24"/>
          <w:szCs w:val="24"/>
        </w:rPr>
        <w:t xml:space="preserve">€ </w:t>
      </w:r>
    </w:p>
    <w:p w:rsidR="007A58C7" w:rsidRDefault="00627C72" w:rsidP="007D6D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26. Lož ulje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7A58C7">
        <w:rPr>
          <w:rFonts w:ascii="Arial" w:hAnsi="Arial" w:cs="Arial"/>
          <w:sz w:val="24"/>
          <w:szCs w:val="24"/>
        </w:rPr>
        <w:t>1.470</w:t>
      </w:r>
      <w:proofErr w:type="gramStart"/>
      <w:r w:rsidR="007A58C7">
        <w:rPr>
          <w:rFonts w:ascii="Arial" w:hAnsi="Arial" w:cs="Arial"/>
          <w:sz w:val="24"/>
          <w:szCs w:val="24"/>
        </w:rPr>
        <w:t>,00</w:t>
      </w:r>
      <w:proofErr w:type="gramEnd"/>
      <w:r>
        <w:rPr>
          <w:rFonts w:ascii="Arial" w:hAnsi="Arial" w:cs="Arial"/>
          <w:sz w:val="24"/>
          <w:szCs w:val="24"/>
        </w:rPr>
        <w:t>€</w:t>
      </w:r>
    </w:p>
    <w:p w:rsidR="007A58C7" w:rsidRDefault="007A58C7" w:rsidP="007D6D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Otpremnine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1.530</w:t>
      </w:r>
      <w:proofErr w:type="gramStart"/>
      <w:r>
        <w:rPr>
          <w:rFonts w:ascii="Arial" w:hAnsi="Arial" w:cs="Arial"/>
          <w:sz w:val="24"/>
          <w:szCs w:val="24"/>
        </w:rPr>
        <w:t>,00</w:t>
      </w:r>
      <w:proofErr w:type="gramEnd"/>
      <w:r>
        <w:rPr>
          <w:rFonts w:ascii="Arial" w:hAnsi="Arial" w:cs="Arial"/>
          <w:sz w:val="24"/>
          <w:szCs w:val="24"/>
        </w:rPr>
        <w:t>€</w:t>
      </w:r>
    </w:p>
    <w:p w:rsidR="007A58C7" w:rsidRPr="007D6D72" w:rsidRDefault="007A58C7" w:rsidP="007D6D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Nagrade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500</w:t>
      </w:r>
      <w:proofErr w:type="gramStart"/>
      <w:r>
        <w:rPr>
          <w:rFonts w:ascii="Arial" w:hAnsi="Arial" w:cs="Arial"/>
          <w:sz w:val="24"/>
          <w:szCs w:val="24"/>
        </w:rPr>
        <w:t>,00</w:t>
      </w:r>
      <w:proofErr w:type="gramEnd"/>
      <w:r>
        <w:rPr>
          <w:rFonts w:ascii="Arial" w:hAnsi="Arial" w:cs="Arial"/>
          <w:sz w:val="24"/>
          <w:szCs w:val="24"/>
        </w:rPr>
        <w:t>€</w:t>
      </w:r>
    </w:p>
    <w:p w:rsid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>2</w:t>
      </w:r>
      <w:r w:rsidR="00145B39">
        <w:rPr>
          <w:rFonts w:ascii="Arial" w:hAnsi="Arial" w:cs="Arial"/>
          <w:sz w:val="24"/>
          <w:szCs w:val="24"/>
        </w:rPr>
        <w:t>6</w:t>
      </w:r>
      <w:r w:rsidRPr="007D6D72">
        <w:rPr>
          <w:rFonts w:ascii="Arial" w:hAnsi="Arial" w:cs="Arial"/>
          <w:sz w:val="24"/>
          <w:szCs w:val="24"/>
        </w:rPr>
        <w:t>. Bankarska provizija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 </w:t>
      </w:r>
      <w:r w:rsidRPr="007D6D72">
        <w:rPr>
          <w:rFonts w:ascii="Arial" w:hAnsi="Arial" w:cs="Arial"/>
          <w:sz w:val="24"/>
          <w:szCs w:val="24"/>
        </w:rPr>
        <w:tab/>
        <w:t xml:space="preserve">  </w:t>
      </w:r>
      <w:r w:rsidR="007A58C7">
        <w:rPr>
          <w:rFonts w:ascii="Arial" w:hAnsi="Arial" w:cs="Arial"/>
          <w:sz w:val="24"/>
          <w:szCs w:val="24"/>
        </w:rPr>
        <w:t xml:space="preserve">      </w:t>
      </w:r>
      <w:r w:rsidRPr="007D6D72">
        <w:rPr>
          <w:rFonts w:ascii="Arial" w:hAnsi="Arial" w:cs="Arial"/>
          <w:sz w:val="24"/>
          <w:szCs w:val="24"/>
        </w:rPr>
        <w:t xml:space="preserve"> </w:t>
      </w:r>
      <w:r w:rsidR="00762A2A">
        <w:rPr>
          <w:rFonts w:ascii="Arial" w:hAnsi="Arial" w:cs="Arial"/>
          <w:sz w:val="24"/>
          <w:szCs w:val="24"/>
        </w:rPr>
        <w:t xml:space="preserve">  </w:t>
      </w:r>
      <w:r w:rsidRPr="007D6D72">
        <w:rPr>
          <w:rFonts w:ascii="Arial" w:hAnsi="Arial" w:cs="Arial"/>
          <w:sz w:val="24"/>
          <w:szCs w:val="24"/>
        </w:rPr>
        <w:t xml:space="preserve"> </w:t>
      </w:r>
      <w:r w:rsidR="007A58C7">
        <w:rPr>
          <w:rFonts w:ascii="Arial" w:hAnsi="Arial" w:cs="Arial"/>
          <w:sz w:val="24"/>
          <w:szCs w:val="24"/>
        </w:rPr>
        <w:t xml:space="preserve">  </w:t>
      </w:r>
      <w:r w:rsidR="00627C72">
        <w:rPr>
          <w:rFonts w:ascii="Arial" w:hAnsi="Arial" w:cs="Arial"/>
          <w:sz w:val="24"/>
          <w:szCs w:val="24"/>
        </w:rPr>
        <w:t>819</w:t>
      </w:r>
      <w:proofErr w:type="gramStart"/>
      <w:r w:rsidR="00627C72">
        <w:rPr>
          <w:rFonts w:ascii="Arial" w:hAnsi="Arial" w:cs="Arial"/>
          <w:sz w:val="24"/>
          <w:szCs w:val="24"/>
        </w:rPr>
        <w:t>,07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627C72" w:rsidRPr="007D6D72" w:rsidRDefault="00627C72" w:rsidP="007D6D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Troškovi IPA projekta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ab/>
        <w:t xml:space="preserve">         35.656</w:t>
      </w:r>
      <w:proofErr w:type="gramStart"/>
      <w:r>
        <w:rPr>
          <w:rFonts w:ascii="Arial" w:hAnsi="Arial" w:cs="Arial"/>
          <w:sz w:val="24"/>
          <w:szCs w:val="24"/>
        </w:rPr>
        <w:t>,38</w:t>
      </w:r>
      <w:proofErr w:type="gramEnd"/>
      <w:r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   </w:t>
      </w:r>
      <w:r w:rsidRPr="007D6D72">
        <w:rPr>
          <w:rFonts w:ascii="Arial" w:hAnsi="Arial" w:cs="Arial"/>
          <w:sz w:val="24"/>
          <w:szCs w:val="24"/>
        </w:rPr>
        <w:tab/>
        <w:t xml:space="preserve">   </w:t>
      </w:r>
      <w:r w:rsidR="00C0661B">
        <w:rPr>
          <w:rFonts w:ascii="Arial" w:hAnsi="Arial" w:cs="Arial"/>
          <w:sz w:val="24"/>
          <w:szCs w:val="24"/>
        </w:rPr>
        <w:t xml:space="preserve">    Ukupno 2.1.3:    </w:t>
      </w:r>
      <w:r w:rsidR="00627C72">
        <w:rPr>
          <w:rFonts w:ascii="Arial" w:hAnsi="Arial" w:cs="Arial"/>
          <w:sz w:val="24"/>
          <w:szCs w:val="24"/>
        </w:rPr>
        <w:t xml:space="preserve">      157</w:t>
      </w:r>
      <w:r w:rsidR="00C0661B">
        <w:rPr>
          <w:rFonts w:ascii="Arial" w:hAnsi="Arial" w:cs="Arial"/>
          <w:sz w:val="24"/>
          <w:szCs w:val="24"/>
        </w:rPr>
        <w:t>.</w:t>
      </w:r>
      <w:r w:rsidR="00627C72">
        <w:rPr>
          <w:rFonts w:ascii="Arial" w:hAnsi="Arial" w:cs="Arial"/>
          <w:sz w:val="24"/>
          <w:szCs w:val="24"/>
        </w:rPr>
        <w:t>642</w:t>
      </w:r>
      <w:proofErr w:type="gramStart"/>
      <w:r w:rsidR="00627C72">
        <w:rPr>
          <w:rFonts w:ascii="Arial" w:hAnsi="Arial" w:cs="Arial"/>
          <w:sz w:val="24"/>
          <w:szCs w:val="24"/>
        </w:rPr>
        <w:t>,56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ab/>
      </w:r>
    </w:p>
    <w:p w:rsidR="007D6D72" w:rsidRPr="007D6D72" w:rsidRDefault="007C334C" w:rsidP="007D6D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7D6D72" w:rsidRPr="007D6D72">
        <w:rPr>
          <w:rFonts w:ascii="Arial" w:hAnsi="Arial" w:cs="Arial"/>
          <w:sz w:val="24"/>
          <w:szCs w:val="24"/>
        </w:rPr>
        <w:t>Ukupno 2.</w:t>
      </w:r>
      <w:r w:rsidR="007D6D72" w:rsidRPr="007D6D72">
        <w:rPr>
          <w:rFonts w:ascii="Arial" w:hAnsi="Arial" w:cs="Arial"/>
          <w:sz w:val="24"/>
          <w:szCs w:val="24"/>
        </w:rPr>
        <w:tab/>
        <w:t xml:space="preserve">       </w:t>
      </w:r>
      <w:r w:rsidR="007D6D72" w:rsidRPr="007D6D72">
        <w:rPr>
          <w:rFonts w:ascii="Arial" w:hAnsi="Arial" w:cs="Arial"/>
          <w:sz w:val="24"/>
          <w:szCs w:val="24"/>
        </w:rPr>
        <w:tab/>
      </w:r>
      <w:r w:rsidR="007D6D72" w:rsidRPr="007D6D72">
        <w:rPr>
          <w:rFonts w:ascii="Arial" w:hAnsi="Arial" w:cs="Arial"/>
          <w:sz w:val="24"/>
          <w:szCs w:val="24"/>
        </w:rPr>
        <w:tab/>
      </w:r>
      <w:r w:rsidR="007D6D72" w:rsidRPr="007D6D72">
        <w:rPr>
          <w:rFonts w:ascii="Arial" w:hAnsi="Arial" w:cs="Arial"/>
          <w:sz w:val="24"/>
          <w:szCs w:val="24"/>
        </w:rPr>
        <w:tab/>
      </w:r>
      <w:r w:rsidR="007D6D72" w:rsidRPr="007D6D72">
        <w:rPr>
          <w:rFonts w:ascii="Arial" w:hAnsi="Arial" w:cs="Arial"/>
          <w:sz w:val="24"/>
          <w:szCs w:val="24"/>
        </w:rPr>
        <w:tab/>
      </w:r>
      <w:r w:rsidR="007D6D72" w:rsidRPr="007D6D72">
        <w:rPr>
          <w:rFonts w:ascii="Arial" w:hAnsi="Arial" w:cs="Arial"/>
          <w:sz w:val="24"/>
          <w:szCs w:val="24"/>
        </w:rPr>
        <w:tab/>
      </w:r>
      <w:r w:rsidR="007D6D72" w:rsidRPr="007D6D72">
        <w:rPr>
          <w:rFonts w:ascii="Arial" w:hAnsi="Arial" w:cs="Arial"/>
          <w:sz w:val="24"/>
          <w:szCs w:val="24"/>
        </w:rPr>
        <w:tab/>
        <w:t xml:space="preserve">       </w:t>
      </w:r>
      <w:r w:rsidR="00C0661B">
        <w:rPr>
          <w:rFonts w:ascii="Arial" w:hAnsi="Arial" w:cs="Arial"/>
          <w:sz w:val="24"/>
          <w:szCs w:val="24"/>
        </w:rPr>
        <w:t xml:space="preserve">  </w:t>
      </w:r>
      <w:r w:rsidR="00627C72">
        <w:rPr>
          <w:rFonts w:ascii="Arial" w:hAnsi="Arial" w:cs="Arial"/>
          <w:sz w:val="24"/>
          <w:szCs w:val="24"/>
        </w:rPr>
        <w:t xml:space="preserve">         569</w:t>
      </w:r>
      <w:r w:rsidR="007D6D72" w:rsidRPr="007D6D72">
        <w:rPr>
          <w:rFonts w:ascii="Arial" w:hAnsi="Arial" w:cs="Arial"/>
          <w:sz w:val="24"/>
          <w:szCs w:val="24"/>
        </w:rPr>
        <w:t>.</w:t>
      </w:r>
      <w:r w:rsidR="00C0661B">
        <w:rPr>
          <w:rFonts w:ascii="Arial" w:hAnsi="Arial" w:cs="Arial"/>
          <w:sz w:val="24"/>
          <w:szCs w:val="24"/>
        </w:rPr>
        <w:t>71</w:t>
      </w:r>
      <w:r w:rsidR="00627C72">
        <w:rPr>
          <w:rFonts w:ascii="Arial" w:hAnsi="Arial" w:cs="Arial"/>
          <w:sz w:val="24"/>
          <w:szCs w:val="24"/>
        </w:rPr>
        <w:t>8</w:t>
      </w:r>
      <w:proofErr w:type="gramStart"/>
      <w:r w:rsidR="00C0661B">
        <w:rPr>
          <w:rFonts w:ascii="Arial" w:hAnsi="Arial" w:cs="Arial"/>
          <w:sz w:val="24"/>
          <w:szCs w:val="24"/>
        </w:rPr>
        <w:t>,</w:t>
      </w:r>
      <w:r w:rsidR="00627C72">
        <w:rPr>
          <w:rFonts w:ascii="Arial" w:hAnsi="Arial" w:cs="Arial"/>
          <w:sz w:val="24"/>
          <w:szCs w:val="24"/>
        </w:rPr>
        <w:t>46</w:t>
      </w:r>
      <w:proofErr w:type="gramEnd"/>
      <w:r w:rsidR="007D6D72" w:rsidRPr="007D6D72">
        <w:rPr>
          <w:rFonts w:ascii="Arial" w:hAnsi="Arial" w:cs="Arial"/>
          <w:sz w:val="24"/>
          <w:szCs w:val="24"/>
        </w:rPr>
        <w:t>€</w:t>
      </w:r>
      <w:r w:rsidR="007D6D72" w:rsidRPr="007D6D72">
        <w:rPr>
          <w:rFonts w:ascii="Arial" w:hAnsi="Arial" w:cs="Arial"/>
          <w:sz w:val="24"/>
          <w:szCs w:val="24"/>
        </w:rPr>
        <w:tab/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 xml:space="preserve">    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="009573CB">
        <w:rPr>
          <w:rFonts w:ascii="Arial" w:hAnsi="Arial" w:cs="Arial"/>
          <w:sz w:val="24"/>
          <w:szCs w:val="24"/>
        </w:rPr>
        <w:t xml:space="preserve"> </w:t>
      </w:r>
      <w:r w:rsidRPr="007D6D72">
        <w:rPr>
          <w:rFonts w:ascii="Arial" w:hAnsi="Arial" w:cs="Arial"/>
          <w:sz w:val="24"/>
          <w:szCs w:val="24"/>
        </w:rPr>
        <w:tab/>
        <w:t xml:space="preserve">  1-2: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        </w:t>
      </w:r>
      <w:r w:rsidR="00627C72">
        <w:rPr>
          <w:rFonts w:ascii="Arial" w:hAnsi="Arial" w:cs="Arial"/>
          <w:sz w:val="24"/>
          <w:szCs w:val="24"/>
        </w:rPr>
        <w:t xml:space="preserve">         24</w:t>
      </w:r>
      <w:r w:rsidRPr="007D6D72">
        <w:rPr>
          <w:rFonts w:ascii="Arial" w:hAnsi="Arial" w:cs="Arial"/>
          <w:sz w:val="24"/>
          <w:szCs w:val="24"/>
        </w:rPr>
        <w:t>.</w:t>
      </w:r>
      <w:r w:rsidR="00627C72">
        <w:rPr>
          <w:rFonts w:ascii="Arial" w:hAnsi="Arial" w:cs="Arial"/>
          <w:sz w:val="24"/>
          <w:szCs w:val="24"/>
        </w:rPr>
        <w:t>640</w:t>
      </w:r>
      <w:proofErr w:type="gramStart"/>
      <w:r w:rsidR="00627C72">
        <w:rPr>
          <w:rFonts w:ascii="Arial" w:hAnsi="Arial" w:cs="Arial"/>
          <w:sz w:val="24"/>
          <w:szCs w:val="24"/>
        </w:rPr>
        <w:t>,42</w:t>
      </w:r>
      <w:proofErr w:type="gramEnd"/>
      <w:r w:rsidRPr="007D6D72">
        <w:rPr>
          <w:rFonts w:ascii="Arial" w:hAnsi="Arial" w:cs="Arial"/>
          <w:sz w:val="24"/>
          <w:szCs w:val="24"/>
        </w:rPr>
        <w:t>€</w:t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</w:p>
    <w:p w:rsidR="007D6D72" w:rsidRPr="007D6D72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 xml:space="preserve">     DIREKTOR,</w:t>
      </w:r>
    </w:p>
    <w:p w:rsidR="00912B42" w:rsidRPr="00583DFA" w:rsidRDefault="007D6D72" w:rsidP="007D6D72">
      <w:pPr>
        <w:jc w:val="both"/>
        <w:rPr>
          <w:rFonts w:ascii="Arial" w:hAnsi="Arial" w:cs="Arial"/>
          <w:sz w:val="24"/>
          <w:szCs w:val="24"/>
        </w:rPr>
      </w:pP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</w:r>
      <w:r w:rsidRPr="007D6D72">
        <w:rPr>
          <w:rFonts w:ascii="Arial" w:hAnsi="Arial" w:cs="Arial"/>
          <w:sz w:val="24"/>
          <w:szCs w:val="24"/>
        </w:rPr>
        <w:tab/>
        <w:t>Radovan Dragnić</w:t>
      </w:r>
      <w:r w:rsidR="00A65451">
        <w:rPr>
          <w:rFonts w:ascii="Arial" w:hAnsi="Arial" w:cs="Arial"/>
          <w:sz w:val="24"/>
          <w:szCs w:val="24"/>
        </w:rPr>
        <w:t>, s.r.</w:t>
      </w:r>
    </w:p>
    <w:sectPr w:rsidR="00912B42" w:rsidRPr="00583DFA" w:rsidSect="0056256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BC" w:rsidRDefault="00CD0EBC" w:rsidP="00562567">
      <w:pPr>
        <w:spacing w:after="0" w:line="240" w:lineRule="auto"/>
      </w:pPr>
      <w:r>
        <w:separator/>
      </w:r>
    </w:p>
  </w:endnote>
  <w:endnote w:type="continuationSeparator" w:id="0">
    <w:p w:rsidR="00CD0EBC" w:rsidRDefault="00CD0EBC" w:rsidP="0056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4954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C72" w:rsidRDefault="00627C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F7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27C72" w:rsidRDefault="00627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BC" w:rsidRDefault="00CD0EBC" w:rsidP="00562567">
      <w:pPr>
        <w:spacing w:after="0" w:line="240" w:lineRule="auto"/>
      </w:pPr>
      <w:r>
        <w:separator/>
      </w:r>
    </w:p>
  </w:footnote>
  <w:footnote w:type="continuationSeparator" w:id="0">
    <w:p w:rsidR="00CD0EBC" w:rsidRDefault="00CD0EBC" w:rsidP="00562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377A2"/>
    <w:multiLevelType w:val="hybridMultilevel"/>
    <w:tmpl w:val="F4922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FE31CB"/>
    <w:multiLevelType w:val="hybridMultilevel"/>
    <w:tmpl w:val="1C58D21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25"/>
    <w:rsid w:val="00000E34"/>
    <w:rsid w:val="000674F1"/>
    <w:rsid w:val="00074225"/>
    <w:rsid w:val="0009254E"/>
    <w:rsid w:val="000B03C8"/>
    <w:rsid w:val="000D2E6D"/>
    <w:rsid w:val="000E0255"/>
    <w:rsid w:val="000E0F4A"/>
    <w:rsid w:val="000E4EE0"/>
    <w:rsid w:val="00111201"/>
    <w:rsid w:val="00121324"/>
    <w:rsid w:val="001279B4"/>
    <w:rsid w:val="001350CA"/>
    <w:rsid w:val="0014090E"/>
    <w:rsid w:val="00145B39"/>
    <w:rsid w:val="0015535B"/>
    <w:rsid w:val="00166FA0"/>
    <w:rsid w:val="001A6E86"/>
    <w:rsid w:val="001B06FA"/>
    <w:rsid w:val="001E5F36"/>
    <w:rsid w:val="001E6E9D"/>
    <w:rsid w:val="001F4EE6"/>
    <w:rsid w:val="00221D95"/>
    <w:rsid w:val="00232248"/>
    <w:rsid w:val="0023461A"/>
    <w:rsid w:val="002359F7"/>
    <w:rsid w:val="00250D21"/>
    <w:rsid w:val="002536DE"/>
    <w:rsid w:val="002C081E"/>
    <w:rsid w:val="002C0956"/>
    <w:rsid w:val="002E52C7"/>
    <w:rsid w:val="002F4D93"/>
    <w:rsid w:val="002F541C"/>
    <w:rsid w:val="002F58BF"/>
    <w:rsid w:val="0031262C"/>
    <w:rsid w:val="003213F5"/>
    <w:rsid w:val="00340146"/>
    <w:rsid w:val="00353C27"/>
    <w:rsid w:val="00353D4B"/>
    <w:rsid w:val="00356F8E"/>
    <w:rsid w:val="003A369A"/>
    <w:rsid w:val="003A6587"/>
    <w:rsid w:val="003B1913"/>
    <w:rsid w:val="003B7E7C"/>
    <w:rsid w:val="003C105F"/>
    <w:rsid w:val="003C260B"/>
    <w:rsid w:val="003C4D06"/>
    <w:rsid w:val="003D2AE8"/>
    <w:rsid w:val="00410BEF"/>
    <w:rsid w:val="00426571"/>
    <w:rsid w:val="00452E37"/>
    <w:rsid w:val="00453824"/>
    <w:rsid w:val="004675B3"/>
    <w:rsid w:val="00467635"/>
    <w:rsid w:val="00471F39"/>
    <w:rsid w:val="00473DFB"/>
    <w:rsid w:val="004C314B"/>
    <w:rsid w:val="004C46D5"/>
    <w:rsid w:val="004D05FC"/>
    <w:rsid w:val="004D6511"/>
    <w:rsid w:val="004E60E3"/>
    <w:rsid w:val="004F502B"/>
    <w:rsid w:val="004F5F38"/>
    <w:rsid w:val="00510999"/>
    <w:rsid w:val="00562567"/>
    <w:rsid w:val="00572CEA"/>
    <w:rsid w:val="005763CB"/>
    <w:rsid w:val="00583DFA"/>
    <w:rsid w:val="005844B9"/>
    <w:rsid w:val="005868FE"/>
    <w:rsid w:val="005B2363"/>
    <w:rsid w:val="005B5F30"/>
    <w:rsid w:val="005E257A"/>
    <w:rsid w:val="005F0E79"/>
    <w:rsid w:val="005F4AED"/>
    <w:rsid w:val="00613958"/>
    <w:rsid w:val="00623120"/>
    <w:rsid w:val="00627C72"/>
    <w:rsid w:val="0063151C"/>
    <w:rsid w:val="00635192"/>
    <w:rsid w:val="00643A45"/>
    <w:rsid w:val="00662F61"/>
    <w:rsid w:val="006A2CB0"/>
    <w:rsid w:val="006A3984"/>
    <w:rsid w:val="006A3EB0"/>
    <w:rsid w:val="006A48FC"/>
    <w:rsid w:val="006A68B5"/>
    <w:rsid w:val="006E201C"/>
    <w:rsid w:val="006F5EF0"/>
    <w:rsid w:val="00706699"/>
    <w:rsid w:val="00725CF8"/>
    <w:rsid w:val="00762A2A"/>
    <w:rsid w:val="00784C9B"/>
    <w:rsid w:val="007A374F"/>
    <w:rsid w:val="007A58C7"/>
    <w:rsid w:val="007C334C"/>
    <w:rsid w:val="007D6D72"/>
    <w:rsid w:val="007E0731"/>
    <w:rsid w:val="00807759"/>
    <w:rsid w:val="00810A9B"/>
    <w:rsid w:val="008203BD"/>
    <w:rsid w:val="008332FF"/>
    <w:rsid w:val="00864FFC"/>
    <w:rsid w:val="00870FE2"/>
    <w:rsid w:val="00877DB3"/>
    <w:rsid w:val="008A0206"/>
    <w:rsid w:val="008A3AE0"/>
    <w:rsid w:val="008B0A25"/>
    <w:rsid w:val="008C6D37"/>
    <w:rsid w:val="008F4B04"/>
    <w:rsid w:val="00912B42"/>
    <w:rsid w:val="0093134D"/>
    <w:rsid w:val="009564BA"/>
    <w:rsid w:val="009573CB"/>
    <w:rsid w:val="00957583"/>
    <w:rsid w:val="00981BDD"/>
    <w:rsid w:val="00990AAC"/>
    <w:rsid w:val="00997495"/>
    <w:rsid w:val="009B0A2B"/>
    <w:rsid w:val="009C0C71"/>
    <w:rsid w:val="009C244E"/>
    <w:rsid w:val="009D00AD"/>
    <w:rsid w:val="009D0E39"/>
    <w:rsid w:val="009F2C67"/>
    <w:rsid w:val="00A140BF"/>
    <w:rsid w:val="00A4011D"/>
    <w:rsid w:val="00A40147"/>
    <w:rsid w:val="00A42627"/>
    <w:rsid w:val="00A51B46"/>
    <w:rsid w:val="00A65451"/>
    <w:rsid w:val="00A667CB"/>
    <w:rsid w:val="00A80CC8"/>
    <w:rsid w:val="00A94815"/>
    <w:rsid w:val="00AE16CC"/>
    <w:rsid w:val="00AE31A5"/>
    <w:rsid w:val="00AE7FAA"/>
    <w:rsid w:val="00B06110"/>
    <w:rsid w:val="00B10EB0"/>
    <w:rsid w:val="00B233E4"/>
    <w:rsid w:val="00B27DF2"/>
    <w:rsid w:val="00B314E3"/>
    <w:rsid w:val="00B33E01"/>
    <w:rsid w:val="00B418BB"/>
    <w:rsid w:val="00B47749"/>
    <w:rsid w:val="00B8715F"/>
    <w:rsid w:val="00B87AC0"/>
    <w:rsid w:val="00B90055"/>
    <w:rsid w:val="00B9067F"/>
    <w:rsid w:val="00B91F6F"/>
    <w:rsid w:val="00B97CDA"/>
    <w:rsid w:val="00BB0215"/>
    <w:rsid w:val="00BC5FCF"/>
    <w:rsid w:val="00BD3F22"/>
    <w:rsid w:val="00BE2DAA"/>
    <w:rsid w:val="00BE5BAB"/>
    <w:rsid w:val="00BF2F7C"/>
    <w:rsid w:val="00BF76B0"/>
    <w:rsid w:val="00C02681"/>
    <w:rsid w:val="00C0661B"/>
    <w:rsid w:val="00C160EA"/>
    <w:rsid w:val="00C272A3"/>
    <w:rsid w:val="00C4046B"/>
    <w:rsid w:val="00C5350C"/>
    <w:rsid w:val="00C77838"/>
    <w:rsid w:val="00C938D8"/>
    <w:rsid w:val="00CA26D2"/>
    <w:rsid w:val="00CA7129"/>
    <w:rsid w:val="00CB0DBD"/>
    <w:rsid w:val="00CC6EC4"/>
    <w:rsid w:val="00CD0EBC"/>
    <w:rsid w:val="00D274DC"/>
    <w:rsid w:val="00D62C54"/>
    <w:rsid w:val="00D71082"/>
    <w:rsid w:val="00D76BBE"/>
    <w:rsid w:val="00D8183A"/>
    <w:rsid w:val="00DC694E"/>
    <w:rsid w:val="00DC7F71"/>
    <w:rsid w:val="00DE57B5"/>
    <w:rsid w:val="00E20CBA"/>
    <w:rsid w:val="00E22FA9"/>
    <w:rsid w:val="00E36D42"/>
    <w:rsid w:val="00E45851"/>
    <w:rsid w:val="00E618AA"/>
    <w:rsid w:val="00E62D63"/>
    <w:rsid w:val="00E73611"/>
    <w:rsid w:val="00E826A7"/>
    <w:rsid w:val="00EA33DB"/>
    <w:rsid w:val="00EB0B92"/>
    <w:rsid w:val="00EC1F63"/>
    <w:rsid w:val="00EC3CB1"/>
    <w:rsid w:val="00ED4FA6"/>
    <w:rsid w:val="00EF4DAC"/>
    <w:rsid w:val="00F22071"/>
    <w:rsid w:val="00F41889"/>
    <w:rsid w:val="00F555EB"/>
    <w:rsid w:val="00FA145A"/>
    <w:rsid w:val="00F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575451-BDCA-4A69-A913-FF7D816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567"/>
  </w:style>
  <w:style w:type="paragraph" w:styleId="Footer">
    <w:name w:val="footer"/>
    <w:basedOn w:val="Normal"/>
    <w:link w:val="FooterChar"/>
    <w:uiPriority w:val="99"/>
    <w:unhideWhenUsed/>
    <w:rsid w:val="0056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567"/>
  </w:style>
  <w:style w:type="paragraph" w:styleId="ListParagraph">
    <w:name w:val="List Paragraph"/>
    <w:basedOn w:val="Normal"/>
    <w:uiPriority w:val="99"/>
    <w:qFormat/>
    <w:rsid w:val="001E6E9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2E4D-B2C9-446D-9E1C-342AC711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14</Pages>
  <Words>3721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Microsoft account</cp:lastModifiedBy>
  <cp:revision>10</cp:revision>
  <cp:lastPrinted>2024-03-05T11:25:00Z</cp:lastPrinted>
  <dcterms:created xsi:type="dcterms:W3CDTF">2024-03-05T06:52:00Z</dcterms:created>
  <dcterms:modified xsi:type="dcterms:W3CDTF">2024-03-05T13:08:00Z</dcterms:modified>
</cp:coreProperties>
</file>