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73" w:rsidRPr="00322389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322389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3"/>
        <w:gridCol w:w="5457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ANALIZI UTICAJA PROPISA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ZA LOKALNE SAMOUPRAVE</w:t>
            </w:r>
          </w:p>
        </w:tc>
      </w:tr>
      <w:tr w:rsidR="004B549B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Предсједник Општине </w:t>
            </w:r>
          </w:p>
          <w:p w:rsidR="008322D4" w:rsidRPr="00322389" w:rsidRDefault="0038091A" w:rsidP="0038091A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Секретаријат за финансије, развој и предузетништво</w:t>
            </w:r>
          </w:p>
        </w:tc>
      </w:tr>
      <w:tr w:rsidR="004B549B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322389" w:rsidRDefault="0038091A" w:rsidP="008322D4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Одлука о  кредитном задужењу Општине Никшић</w:t>
            </w: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odnosno strateški ili drugi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osnov za donošenje propisa</w:t>
            </w:r>
            <w:r w:rsidR="00715DF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se propisom utvrđuju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sopstven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nadležnosti ili prenes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odnosno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povjeren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posl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871836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problem ima rodnu dimenziju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:rsidR="00A07773" w:rsidRPr="00322389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11D8" w:rsidRPr="00322389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На државном нивоу је з</w:t>
            </w:r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акључен Оквирни уговор „Водоснадбиј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евање и отпадне воде у Црној Гори“ са Европском инвестиционом банком а односи се на сакупљање и пречишћавање отпадних вода и унапређење система водоснабђевања. Истим је </w:t>
            </w:r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прерасподијеље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н један дио средстава за Општину Никшић к</w:t>
            </w:r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оја су намијењена за изградњу </w:t>
            </w:r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  <w:t>II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фазе канализационе мреже Општине Никшић. Ова изградња је планирана Стратешким планом развоја општине Никшић, за период 2023 - 2028. година.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Законски основ за доношење Одлуке о кредитном задужењу Општине Никшић садржан је у одредбама Закона о локалној самоуправи („Службени лист ЦГ“, бр. 02/18, 34/19, 38/20, 50/22, 84/22 и 81/25) , Закона о финансирању локалне самоуправе ("Сл. лист ЦГ" бр. 03/19, 86/22, 05/24, 07/24 и 92/25) и Статута општине Никшић  ("Сл.лист  Црне Горе - Општински прописи", бр. 31/18, 21/23 и 42/25) и ("Сл. лист ЦГ" број 62/25).</w:t>
            </w:r>
          </w:p>
          <w:p w:rsidR="0038091A" w:rsidRPr="0038091A" w:rsidRDefault="001147EB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Ов</w:t>
            </w:r>
            <w: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Cyrl-ME"/>
              </w:rPr>
              <w:t>дје</w:t>
            </w:r>
            <w:r w:rsidR="0038091A"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се ради о пословима из надлежности Општине.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Доношењем предложеног акта се стварају услови за закључивање уговора о просљеђивању средстава за реализацију овог пројекта.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Овај акт нема родну димензију.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Узроци проблема су непокривеност цијеле општине канализационом мрежом за прикупљање отпадних вода.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Посљедица тога је што се не пречишћавају све отпадне воде са територије Општине.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Доношењем овог акта нема оштећених субјеката.</w:t>
            </w:r>
          </w:p>
          <w:p w:rsidR="008322D4" w:rsidRPr="00322389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Недоношењем овог прописа не би се могао радити овај пројекат.</w:t>
            </w:r>
          </w:p>
          <w:p w:rsidR="00AA117E" w:rsidRPr="00322389" w:rsidRDefault="00AA117E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bilo koji od ciljeva unapređuje rodnu ravnopravnost? </w:t>
            </w:r>
          </w:p>
          <w:p w:rsidR="00A07773" w:rsidRPr="00322389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1147EB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iCs/>
                <w:color w:val="365F91" w:themeColor="accent1" w:themeShade="BF"/>
              </w:rPr>
            </w:pPr>
            <w:r w:rsidRPr="0038091A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lastRenderedPageBreak/>
              <w:t xml:space="preserve">Предложеним прописом се стварају услови за </w:t>
            </w:r>
            <w:r w:rsidR="001147EB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t xml:space="preserve">реализацију пројекта изградње </w:t>
            </w:r>
            <w:r w:rsidR="001147EB">
              <w:rPr>
                <w:rFonts w:ascii="Calibri" w:hAnsi="Calibri" w:cs="Calibri"/>
                <w:b w:val="0"/>
                <w:iCs/>
                <w:color w:val="365F91" w:themeColor="accent1" w:themeShade="BF"/>
                <w:lang w:val="sr-Latn-ME"/>
              </w:rPr>
              <w:t>II</w:t>
            </w:r>
            <w:r w:rsidRPr="0038091A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t xml:space="preserve"> фазе</w:t>
            </w:r>
            <w:r w:rsidRPr="0038091A">
              <w:rPr>
                <w:rFonts w:ascii="Calibri" w:hAnsi="Calibri" w:cs="Calibri"/>
                <w:i/>
                <w:iCs/>
                <w:color w:val="365F91" w:themeColor="accent1" w:themeShade="BF"/>
              </w:rPr>
              <w:t xml:space="preserve"> </w:t>
            </w:r>
            <w:r w:rsidRPr="0038091A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t>канализационе мреже, како би се сакупљала и пречишћавала што већа количина отпадних вода, а тиме штитила животна средина.</w:t>
            </w: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:rsidR="00A07773" w:rsidRPr="00322389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- 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D06D2A" w:rsidP="002A41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 obrazlaganja opcije uključiti i rodnu dimenziju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te opcije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 pr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status žena i odnose među ženama i muškarc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8091A" w:rsidRPr="001147EB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iCs/>
                <w:color w:val="365F91" w:themeColor="accent1" w:themeShade="BF"/>
              </w:rPr>
            </w:pPr>
            <w:r w:rsidRPr="0038091A">
              <w:rPr>
                <w:rFonts w:ascii="Calibri" w:hAnsi="Calibri" w:cs="Calibri"/>
                <w:b w:val="0"/>
                <w:i/>
                <w:iCs/>
                <w:color w:val="365F91" w:themeColor="accent1" w:themeShade="BF"/>
              </w:rPr>
              <w:tab/>
            </w:r>
            <w:r w:rsidRPr="001147EB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t>- Пропис је неопходан како би се приступило закључивању уговора о просљеђивању средстава.</w:t>
            </w:r>
          </w:p>
          <w:p w:rsidR="008322D4" w:rsidRPr="00322389" w:rsidRDefault="0038091A" w:rsidP="0038091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i/>
                <w:iCs/>
                <w:color w:val="365F91" w:themeColor="accent1" w:themeShade="BF"/>
              </w:rPr>
            </w:pPr>
            <w:r w:rsidRPr="001147EB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t>-</w:t>
            </w:r>
            <w:r w:rsidRPr="001147EB">
              <w:rPr>
                <w:rFonts w:ascii="Calibri" w:hAnsi="Calibri" w:cs="Calibri"/>
                <w:b w:val="0"/>
                <w:iCs/>
                <w:color w:val="365F91" w:themeColor="accent1" w:themeShade="BF"/>
              </w:rPr>
              <w:tab/>
              <w:t>Kао што је већ наведен, овај пропис нема родну димензију</w:t>
            </w:r>
            <w:r w:rsidRPr="0038091A">
              <w:rPr>
                <w:rFonts w:ascii="Calibri" w:hAnsi="Calibri" w:cs="Calibri"/>
                <w:b w:val="0"/>
                <w:i/>
                <w:iCs/>
                <w:color w:val="365F91" w:themeColor="accent1" w:themeShade="BF"/>
              </w:rPr>
              <w:t>.</w:t>
            </w:r>
          </w:p>
          <w:p w:rsidR="00FB6BD5" w:rsidRPr="00322389" w:rsidRDefault="00FB6BD5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kao i rodno-senzitivne uticaje propisa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će primjena propisa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322389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Овај пропис ће позитивно утицати на заштиту животне средине и боље услове за живот грађана који живе у дијелу општине гђе ће се градити канализациона мрежа.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Грађанима ће се створити трошак по основу одвођења отпадних вода.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 xml:space="preserve">Позитивне посљедице изградње канализационе мреже у потпуности оправдавају трошкове које ће он створити. </w:t>
            </w:r>
          </w:p>
          <w:p w:rsidR="00AA117E" w:rsidRPr="00322389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Овим прописом се стварају услови за повећање обима посла привредном друштву које се бави водоснабђевањем и одвођењем отпадних вода, чиме се стварају услови за нова запошљавања.</w:t>
            </w: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322389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budžetu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:rsidR="001C29C8" w:rsidRPr="001C29C8" w:rsidRDefault="001C29C8" w:rsidP="001C29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propis utiče na visinu prihoda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jedinice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odnosno </w:t>
            </w:r>
            <w:r w:rsidR="00EB773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</w:t>
            </w:r>
            <w:r w:rsidR="00EB773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 kako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novi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 jedinice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odnosno za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:rsidR="00C450DD" w:rsidRPr="00322389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 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potencijalni </w:t>
            </w:r>
            <w:r w:rsidR="005834B1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korisni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 za implementaciju propisa (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kojem procentu bi korisnici mogli biti muškarci, a u kojem žene? 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implementacija budžeta može biti uzrok neravnopravnosti između muškar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A07773" w:rsidRPr="00322389" w:rsidRDefault="00A07773" w:rsidP="009A2CEB">
            <w:pPr>
              <w:pStyle w:val="ListParagraph"/>
              <w:ind w:left="63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02CFF" w:rsidRPr="00322389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lastRenderedPageBreak/>
              <w:t>Средства која је потребно обезбиједити у буџету односе се на враћање кредита у складу са ануитетима плана отплате – (главница 3. 000. 000,00еураплус припадајућа камата).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Средства се обезбјеђују дугорочно.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У буџету ће средства бити планирана за ову и наредне године.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За локалну самоуправу је ово трошак.</w:t>
            </w:r>
          </w:p>
          <w:p w:rsidR="00702CFF" w:rsidRPr="00322389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Имплементација овог прописа не може довести у питање неравноправност између мушкараца и жена.</w:t>
            </w: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6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322389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A07773" w:rsidRPr="00322389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450DD" w:rsidRPr="00322389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 xml:space="preserve">Припреми ове одлуке су претходиле консултације са Министарства финансија, Министарства </w:t>
            </w:r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просторног планирања,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урбанизма </w:t>
            </w:r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Cyrl-ME"/>
              </w:rPr>
              <w:t>и држав</w:t>
            </w:r>
            <w:bookmarkStart w:id="0" w:name="_GoBack"/>
            <w:bookmarkEnd w:id="0"/>
            <w:r w:rsidR="001147EB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Cyrl-ME"/>
              </w:rPr>
              <w:t xml:space="preserve">не имовине 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и ДОО "Пројецт-Цонсултинг" - Подгорица (ПРОЦОН). </w:t>
            </w: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Kонсултације су биле договаране, све у циљу стварања услова за реализацију изградње ИИ фазе канализационе мреже.</w:t>
            </w:r>
          </w:p>
          <w:p w:rsidR="00AA117E" w:rsidRPr="00322389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Након консултација је преостало само да се донесе предметна одлука, како би се приступило закључивању уговора о просљеђивању средстава.</w:t>
            </w: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:rsidR="0000426F" w:rsidRPr="00322389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0511F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833765" w:rsidRPr="000511F0" w:rsidRDefault="0083376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38091A" w:rsidRPr="0038091A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За имплементецију  овог прописа се не очекују препреке. </w:t>
            </w:r>
          </w:p>
          <w:p w:rsidR="00AA117E" w:rsidRPr="000511F0" w:rsidRDefault="0038091A" w:rsidP="0038091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-</w:t>
            </w:r>
            <w:r w:rsidRPr="0038091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ab/>
              <w:t>Испуњеност циљева ће се мјерити кроз реализацију пројекта.</w:t>
            </w:r>
          </w:p>
          <w:p w:rsidR="00AA117E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0511F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972845" w:rsidRPr="00BD4282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1C29C8">
        <w:rPr>
          <w:rFonts w:ascii="Arial" w:hAnsi="Arial" w:cs="Arial"/>
          <w:b/>
          <w:color w:val="365F91" w:themeColor="accent1" w:themeShade="BF"/>
        </w:rPr>
        <w:t>PREDLAGAČ PROPISA</w:t>
      </w:r>
    </w:p>
    <w:p w:rsidR="00972845" w:rsidRPr="00BD4282" w:rsidRDefault="00972845">
      <w:pPr>
        <w:rPr>
          <w:rFonts w:ascii="Arial" w:hAnsi="Arial" w:cs="Arial"/>
          <w:color w:val="365F91" w:themeColor="accent1" w:themeShade="BF"/>
        </w:rPr>
      </w:pPr>
    </w:p>
    <w:p w:rsidR="00972845" w:rsidRPr="00972845" w:rsidRDefault="00972845">
      <w:pPr>
        <w:rPr>
          <w:rFonts w:ascii="Arial" w:hAnsi="Arial" w:cs="Arial"/>
          <w:color w:val="1F497D" w:themeColor="text2"/>
        </w:rPr>
      </w:pPr>
      <w:r w:rsidRPr="00BD4282">
        <w:rPr>
          <w:rFonts w:ascii="Arial" w:hAnsi="Arial" w:cs="Arial"/>
          <w:color w:val="365F91" w:themeColor="accent1" w:themeShade="BF"/>
        </w:rPr>
        <w:t>___________________</w:t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</w:p>
    <w:p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2A40" w16cex:dateUtc="2020-10-13T11:29:00Z"/>
  <w16cex:commentExtensible w16cex:durableId="23302C71" w16cex:dateUtc="2020-10-1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64E3E7" w16cid:durableId="23302A40"/>
  <w16cid:commentId w16cid:paraId="4DF073FA" w16cid:durableId="23302C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39" w:rsidRDefault="00A51239" w:rsidP="00BA7396">
      <w:r>
        <w:separator/>
      </w:r>
    </w:p>
  </w:endnote>
  <w:endnote w:type="continuationSeparator" w:id="0">
    <w:p w:rsidR="00A51239" w:rsidRDefault="00A51239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39" w:rsidRDefault="00A51239" w:rsidP="00BA7396">
      <w:r>
        <w:separator/>
      </w:r>
    </w:p>
  </w:footnote>
  <w:footnote w:type="continuationSeparator" w:id="0">
    <w:p w:rsidR="00A51239" w:rsidRDefault="00A51239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511F0"/>
    <w:rsid w:val="000629D8"/>
    <w:rsid w:val="00064473"/>
    <w:rsid w:val="00067FCF"/>
    <w:rsid w:val="000716AC"/>
    <w:rsid w:val="00075306"/>
    <w:rsid w:val="000E5392"/>
    <w:rsid w:val="000E7E95"/>
    <w:rsid w:val="001147EB"/>
    <w:rsid w:val="00136E1D"/>
    <w:rsid w:val="00154647"/>
    <w:rsid w:val="00162BB1"/>
    <w:rsid w:val="001C29C8"/>
    <w:rsid w:val="001C7348"/>
    <w:rsid w:val="001D0BF0"/>
    <w:rsid w:val="001E1794"/>
    <w:rsid w:val="002072BA"/>
    <w:rsid w:val="00235BF5"/>
    <w:rsid w:val="00267C7D"/>
    <w:rsid w:val="00282840"/>
    <w:rsid w:val="00284A91"/>
    <w:rsid w:val="00294662"/>
    <w:rsid w:val="00295023"/>
    <w:rsid w:val="002A4102"/>
    <w:rsid w:val="002A6869"/>
    <w:rsid w:val="002C6C29"/>
    <w:rsid w:val="002E7569"/>
    <w:rsid w:val="002E7A48"/>
    <w:rsid w:val="00310915"/>
    <w:rsid w:val="00322389"/>
    <w:rsid w:val="00357476"/>
    <w:rsid w:val="00374085"/>
    <w:rsid w:val="0038091A"/>
    <w:rsid w:val="00380D3B"/>
    <w:rsid w:val="00392F99"/>
    <w:rsid w:val="00395587"/>
    <w:rsid w:val="003F334E"/>
    <w:rsid w:val="0047459A"/>
    <w:rsid w:val="004A4396"/>
    <w:rsid w:val="004B549B"/>
    <w:rsid w:val="004E1351"/>
    <w:rsid w:val="004F4F9C"/>
    <w:rsid w:val="00504237"/>
    <w:rsid w:val="0054756C"/>
    <w:rsid w:val="005805F3"/>
    <w:rsid w:val="005834B1"/>
    <w:rsid w:val="005C4266"/>
    <w:rsid w:val="005F00B7"/>
    <w:rsid w:val="005F03ED"/>
    <w:rsid w:val="005F6D49"/>
    <w:rsid w:val="00601210"/>
    <w:rsid w:val="006129CD"/>
    <w:rsid w:val="006710AA"/>
    <w:rsid w:val="00673F68"/>
    <w:rsid w:val="00681DE1"/>
    <w:rsid w:val="006A1B2C"/>
    <w:rsid w:val="006A3B25"/>
    <w:rsid w:val="006A3B76"/>
    <w:rsid w:val="006B4020"/>
    <w:rsid w:val="006C4F93"/>
    <w:rsid w:val="006E4E97"/>
    <w:rsid w:val="006F1605"/>
    <w:rsid w:val="00702CFF"/>
    <w:rsid w:val="007043B6"/>
    <w:rsid w:val="00705E35"/>
    <w:rsid w:val="00715DF7"/>
    <w:rsid w:val="00721DB9"/>
    <w:rsid w:val="00733149"/>
    <w:rsid w:val="00736E8D"/>
    <w:rsid w:val="00741A35"/>
    <w:rsid w:val="007A1C7D"/>
    <w:rsid w:val="007C12EB"/>
    <w:rsid w:val="007D05DC"/>
    <w:rsid w:val="00811597"/>
    <w:rsid w:val="008169A7"/>
    <w:rsid w:val="008301C9"/>
    <w:rsid w:val="008322D4"/>
    <w:rsid w:val="00833765"/>
    <w:rsid w:val="008352FD"/>
    <w:rsid w:val="00846676"/>
    <w:rsid w:val="0085327D"/>
    <w:rsid w:val="00871235"/>
    <w:rsid w:val="00871836"/>
    <w:rsid w:val="008A2781"/>
    <w:rsid w:val="008B09E9"/>
    <w:rsid w:val="008C0535"/>
    <w:rsid w:val="008E4862"/>
    <w:rsid w:val="008E4CCC"/>
    <w:rsid w:val="008E6C79"/>
    <w:rsid w:val="009535C3"/>
    <w:rsid w:val="00960A46"/>
    <w:rsid w:val="00972845"/>
    <w:rsid w:val="00981466"/>
    <w:rsid w:val="009815B5"/>
    <w:rsid w:val="009874EB"/>
    <w:rsid w:val="009A2CEB"/>
    <w:rsid w:val="00A07773"/>
    <w:rsid w:val="00A265F9"/>
    <w:rsid w:val="00A51239"/>
    <w:rsid w:val="00A71595"/>
    <w:rsid w:val="00AA117E"/>
    <w:rsid w:val="00AA6F41"/>
    <w:rsid w:val="00AC6578"/>
    <w:rsid w:val="00AD100C"/>
    <w:rsid w:val="00B2646E"/>
    <w:rsid w:val="00B40AA1"/>
    <w:rsid w:val="00B50F39"/>
    <w:rsid w:val="00B535B4"/>
    <w:rsid w:val="00B7089B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DF0"/>
    <w:rsid w:val="00C773E3"/>
    <w:rsid w:val="00C87DA2"/>
    <w:rsid w:val="00CB20F0"/>
    <w:rsid w:val="00D06D2A"/>
    <w:rsid w:val="00D25692"/>
    <w:rsid w:val="00D27C82"/>
    <w:rsid w:val="00D4308A"/>
    <w:rsid w:val="00D87CB1"/>
    <w:rsid w:val="00E3478E"/>
    <w:rsid w:val="00E61671"/>
    <w:rsid w:val="00E721E9"/>
    <w:rsid w:val="00EB773F"/>
    <w:rsid w:val="00ED0AF4"/>
    <w:rsid w:val="00ED0F74"/>
    <w:rsid w:val="00ED4766"/>
    <w:rsid w:val="00F20105"/>
    <w:rsid w:val="00F72683"/>
    <w:rsid w:val="00F7433F"/>
    <w:rsid w:val="00F829CD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8DD2-C1CE-40A4-983F-D44BA19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015C-5995-4E75-97FA-EFD5C366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2</cp:revision>
  <cp:lastPrinted>2012-02-02T11:17:00Z</cp:lastPrinted>
  <dcterms:created xsi:type="dcterms:W3CDTF">2025-11-10T06:46:00Z</dcterms:created>
  <dcterms:modified xsi:type="dcterms:W3CDTF">2025-11-10T06:46:00Z</dcterms:modified>
</cp:coreProperties>
</file>