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C54DA3" w:rsidRPr="00417C8B" w:rsidTr="00EC06B0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:rsidR="00C54DA3" w:rsidRPr="00417C8B" w:rsidRDefault="00C54DA3" w:rsidP="00EC06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IZVJEŠTAJ</w:t>
            </w:r>
            <w:r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O</w:t>
            </w:r>
            <w:r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ANALIZI</w:t>
            </w:r>
            <w:r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UTICAJA</w:t>
            </w:r>
            <w:r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PROPISA</w:t>
            </w:r>
            <w:r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ZA</w:t>
            </w:r>
            <w:r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LOKALNE</w:t>
            </w:r>
            <w:r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SAMOUPRAVE</w:t>
            </w:r>
          </w:p>
        </w:tc>
      </w:tr>
      <w:tr w:rsidR="00C54DA3" w:rsidRPr="00417C8B" w:rsidTr="00EC06B0">
        <w:tc>
          <w:tcPr>
            <w:tcW w:w="3978" w:type="dxa"/>
            <w:shd w:val="clear" w:color="auto" w:fill="D2EAF1"/>
          </w:tcPr>
          <w:p w:rsidR="00C54DA3" w:rsidRPr="00417C8B" w:rsidRDefault="00C54DA3" w:rsidP="00EC06B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OBRAĐIVAČ</w:t>
            </w:r>
            <w:r w:rsidRPr="00417C8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598" w:type="dxa"/>
            <w:shd w:val="clear" w:color="auto" w:fill="D2EAF1"/>
          </w:tcPr>
          <w:p w:rsidR="00C54DA3" w:rsidRPr="00417C8B" w:rsidRDefault="00C54DA3" w:rsidP="00EC06B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DOO </w:t>
            </w:r>
            <w:r w:rsidRPr="0040042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„Agencija za projektovanje i planiranje“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0042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C54DA3" w:rsidRPr="00FB4752" w:rsidTr="00EC06B0">
        <w:tc>
          <w:tcPr>
            <w:tcW w:w="3978" w:type="dxa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NAZIV PROPISA</w:t>
            </w:r>
          </w:p>
        </w:tc>
        <w:tc>
          <w:tcPr>
            <w:tcW w:w="5598" w:type="dxa"/>
          </w:tcPr>
          <w:p w:rsidR="00C54DA3" w:rsidRPr="0040042D" w:rsidRDefault="00C54DA3" w:rsidP="00EC06B0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</w:pPr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 xml:space="preserve">Odluka </w:t>
            </w:r>
            <w:r w:rsidRPr="0040042D"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>o naknadi za rad članovima Odbora direktora Društva sa ograničenom odgovornošću „Agencija za projektovanje i planiranje“</w:t>
            </w:r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 xml:space="preserve"> Nikšić</w:t>
            </w:r>
          </w:p>
        </w:tc>
      </w:tr>
      <w:tr w:rsidR="00C54DA3" w:rsidRPr="00FB4752" w:rsidTr="00EC06B0">
        <w:tc>
          <w:tcPr>
            <w:tcW w:w="9576" w:type="dxa"/>
            <w:gridSpan w:val="2"/>
            <w:shd w:val="clear" w:color="auto" w:fill="D2EAF1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1. Definisanje problema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je propis posl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edica zahtjeva (propisa) na državnom nivou?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Navesti zakonski osnov za donošenje propisa, kao i odnos sa strateškim dokumentima lokalne samouprave ako postoji?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lokalna samouprava može odstupati od odredbi propisa na državnom nivou i u kojoj mjeri?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je riječ o sopstvenim nadležnostima ili prenesenom, odnosno povjerenom poslu lokalne samouprave?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 probleme  treba da riješi predloženi akt?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problem ima rodnu dimenziju? (ima posebni uticaj na žene)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 su uzroci problema?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 su posl</w:t>
            </w: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edice problema?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 su subjekti oštećeni, na koji način i u kojoj mjeri?(žene-muškarci)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Kako bi problem evoluirao bez promjene propisa (“status quo” opcija)?</w:t>
            </w:r>
          </w:p>
        </w:tc>
      </w:tr>
      <w:tr w:rsidR="00C54DA3" w:rsidRPr="00FB4752" w:rsidTr="00EC06B0">
        <w:tc>
          <w:tcPr>
            <w:tcW w:w="9576" w:type="dxa"/>
            <w:gridSpan w:val="2"/>
          </w:tcPr>
          <w:p w:rsidR="00C54DA3" w:rsidRPr="001A019D" w:rsidRDefault="00C54DA3" w:rsidP="00EC06B0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:rsidR="00C54DA3" w:rsidRDefault="00C54DA3" w:rsidP="00C54DA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Izrada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Odluke</w:t>
            </w:r>
            <w:r w:rsidRPr="0040042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o naknadi za rad članovima Odbora direktora Društva sa ograničenom odgovornošću „Agencija za projektovanje i planiranje“ Nikšić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nije posljedica propisa na državnom nivou.</w:t>
            </w:r>
          </w:p>
          <w:p w:rsidR="00C54DA3" w:rsidRDefault="00C54DA3" w:rsidP="00C54DA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40042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Pravni osnov za donošenje ove odluke sadržan je u odredbi člana 38 stav 1 tačka 2  Zakona o lokalnoj samoupravi („Službeni list Crne Gore“, br. 02/18, 34/19, 38/20, 50/22 i 84/22), kojom  je propisano da Skupština opštine donosi propise i druge opšte akte, kao i odredbi člana 35 stav 1 tačka 2 i člana 38 stav 1 Statuta Opštine Nikšić („Službeni list Crne Gore – Opštinski propisi“, br. 31/18 i 21/23), kojom  je propisano da Skupština  donosi propise i druge opšte akte, kao i da Skupština u vršenju  poslova iz svoje nadležnosti donosi odluke, kao i odredbi člana 30 Statuta Društva sa ograničenom odgovornošću „Agencija za projektovanje i planiranje“ ("Službeni list Crne Gore - opštinski propisi", br. 020/24), kojim je propisano da članovima Odbora direktora pripada iznos mjesečne naknade za rad u Odboru direktora, u skladu sa posebnim aktom koji donosi Osnivač.</w:t>
            </w:r>
          </w:p>
          <w:p w:rsidR="00C54DA3" w:rsidRDefault="00C54DA3" w:rsidP="00C54DA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Lokalna samouprava mora poštovati okvire propisane na državnom nivou, ali može prilagođavati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odluke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lokalnim specifičnostima.</w:t>
            </w:r>
          </w:p>
          <w:p w:rsidR="00C54DA3" w:rsidRPr="00FE4FEF" w:rsidRDefault="00C54DA3" w:rsidP="00C54DA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Riječ je o sopstvenim nadležnostima lokalne samouprave. </w:t>
            </w:r>
          </w:p>
          <w:p w:rsidR="00C54DA3" w:rsidRPr="001962EC" w:rsidRDefault="00C54DA3" w:rsidP="00C54DA3">
            <w:pPr>
              <w:pStyle w:val="ListParagraph"/>
              <w:numPr>
                <w:ilvl w:val="0"/>
                <w:numId w:val="30"/>
              </w:numPr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Predloženi akt ima za cilj isplatu naknade članovima Odbora direktora Društva sa ograničenom odgovornošću „Agencije za projektovanje i planiranje“ Nikšić. Kako je postupak restrukturiranja Agencije za projektovanje i planiranje kao ostali oblici obavljanja privredne djelatnosti u Društvo sa ograničenom odgovornošću „Agencija za projektovanje i planiranje“ Nikšić završen, u skladu sa Zakonom stekli su se  uslovi za konstituisanje  Odbora direktora, te je Skupština Opštine Nikšić imenovala članove Odbora direktora, a samim tim su ispunjeni uslovi za isplatu naknade za rad članovima Odbora direktora.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</w:p>
          <w:p w:rsidR="00C54DA3" w:rsidRPr="00FE4FEF" w:rsidRDefault="00C54DA3" w:rsidP="00C54DA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Bez donošenja Odluke, ne bi bilo moguće isplatiti naknadu za rad </w:t>
            </w: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članovima Odbora direktora Društva sa ograničenom odgovornošću „Agencija za projektovanje i planiranje“ Nikšić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 Bez O</w:t>
            </w: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dluke koja reguliše naknade, može doći do neslaganja sa zakonodavstvom ili preporukama koje definišu standarde u vezi sa naknadama i kompenzacijama u javnim i državnim institucijama, što može izazvati pravne komplikacije.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</w:p>
        </w:tc>
      </w:tr>
      <w:tr w:rsidR="00C54DA3" w:rsidRPr="00FB4752" w:rsidTr="00EC06B0">
        <w:tc>
          <w:tcPr>
            <w:tcW w:w="9576" w:type="dxa"/>
            <w:gridSpan w:val="2"/>
            <w:shd w:val="clear" w:color="auto" w:fill="D2EAF1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2. Ciljevi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 ciljevi se postižu predloženim propisom?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bilo koji od ciljeva unapređuje rodnu ravnopravnost? (ako je odgovor ne, da li se može definisati cilj koji unapređuje rodnu ravnopravnost?)</w:t>
            </w:r>
          </w:p>
        </w:tc>
      </w:tr>
      <w:tr w:rsidR="00C54DA3" w:rsidRPr="00FB4752" w:rsidTr="00EC06B0">
        <w:tc>
          <w:tcPr>
            <w:tcW w:w="9576" w:type="dxa"/>
            <w:gridSpan w:val="2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23E4F" w:themeColor="text2" w:themeShade="BF"/>
                <w:sz w:val="20"/>
                <w:szCs w:val="20"/>
                <w:lang w:val="sr-Latn-ME" w:eastAsia="sr-Latn-ME" w:bidi="he-IL"/>
              </w:rPr>
            </w:pPr>
          </w:p>
          <w:p w:rsidR="00C54DA3" w:rsidRPr="001A019D" w:rsidRDefault="00C54DA3" w:rsidP="00C54DA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962EC"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>Odluka definiše jasna pravi</w:t>
            </w:r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>la i visinu naknada za članove O</w:t>
            </w:r>
            <w:r w:rsidRPr="001962EC"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>dbora direktora, čime se doprinosi transparentnosti i pravičnosti u odlučivanju o</w:t>
            </w:r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 xml:space="preserve"> finansijskim pitanjima unutar A</w:t>
            </w:r>
            <w:r w:rsidRPr="001962EC"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>gencije.</w:t>
            </w:r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 xml:space="preserve"> Osim toga, p</w:t>
            </w:r>
            <w:r w:rsidRPr="001962EC"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>ruža adekvatnu fina</w:t>
            </w:r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>nsijsku stimulaciju za članove O</w:t>
            </w:r>
            <w:r w:rsidRPr="001962EC"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>dbora</w:t>
            </w:r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 xml:space="preserve"> direktora</w:t>
            </w:r>
            <w:r w:rsidRPr="001962EC"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  <w:lang w:val="sr-Latn-ME" w:eastAsia="sr-Latn-ME" w:bidi="he-IL"/>
              </w:rPr>
              <w:t>, što može povećati njihovu posvećenost i efikasnost u obavljanju svojih funkcija i odgovornosti.</w:t>
            </w:r>
          </w:p>
          <w:p w:rsidR="00C54DA3" w:rsidRPr="001962EC" w:rsidRDefault="00C54DA3" w:rsidP="00C54DA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 obzi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rom na to da je većina članova O</w:t>
            </w: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dbora žene, ovaj propis indirektno doprinosi rodnoj ravnopravnosti tako što obezb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eđuje jasna i pravična pravila za naknade ko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je se isplaćuju svim članovima O</w:t>
            </w: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dbora, bez obzira na pol. U tom smislu, propis doprinosi ravnopravnosti u pogledu naknada i pr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iznanja rada, jer se ista prava </w:t>
            </w: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obezb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eđuju svim članovima, čime se eliminišu </w:t>
            </w:r>
            <w:r w:rsidRPr="001962E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lastRenderedPageBreak/>
              <w:t>potencijalne diskriminacije na osnovu roda.</w:t>
            </w:r>
          </w:p>
        </w:tc>
      </w:tr>
      <w:tr w:rsidR="00C54DA3" w:rsidRPr="00FB4752" w:rsidTr="00EC06B0">
        <w:tc>
          <w:tcPr>
            <w:tcW w:w="9576" w:type="dxa"/>
            <w:gridSpan w:val="2"/>
            <w:shd w:val="clear" w:color="auto" w:fill="D2EAF1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lastRenderedPageBreak/>
              <w:t>3. Opcije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Zašto je propis neophodan? 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Obrazložiti preferiranu opciju? (koja je rodna dimenzija te opcije; kako preferirana opcija unapređuje rodnu ravnopravnost:  status žena i odnose među ženama i muškarcima?)</w:t>
            </w:r>
          </w:p>
        </w:tc>
      </w:tr>
      <w:tr w:rsidR="00C54DA3" w:rsidRPr="00FB4752" w:rsidTr="00EC06B0">
        <w:tc>
          <w:tcPr>
            <w:tcW w:w="9576" w:type="dxa"/>
            <w:gridSpan w:val="2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:rsidR="00C54DA3" w:rsidRDefault="00C54DA3" w:rsidP="00C54D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Odluka treba da bude usklađena sa važećim zakonima i propisima koji uređuju pitanja rada i naknada u javnim institucijama i organizacijama.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Definisanje jasnih pravila u vezi sa naknadama dopr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inosi većoj motivaciji članova O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dbora direktora, jer znaju šta mogu očekivati za svoj rad. Time se doprinosi boljoj efikasnosti i angažmanu u obavljanju njihovih dužnosti.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</w:p>
          <w:p w:rsidR="00C54DA3" w:rsidRPr="001C7884" w:rsidRDefault="00C54DA3" w:rsidP="00C54D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 xml:space="preserve">Opcija 1: 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Status quo opcija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 Nastavak trenutnog stanja, gd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 bi naknade i dalje bile odlučivane na ad hoc osnovi, bez zvanične uredbe ili odluke koja reguliše visinu i uslove naknada. Ova opcija bi mogla dovesti do nesigurnosti, nesklada i neefikasnosti, kao i povećanja rizika od neravnoteže i potencijalne diskriminacije.</w:t>
            </w:r>
          </w:p>
          <w:p w:rsidR="00C54DA3" w:rsidRPr="001C7884" w:rsidRDefault="00C54DA3" w:rsidP="00C54D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Opc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 xml:space="preserve">ija 2: 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Regulatorna opcija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(predloženi propis): Usvajanje zvanične odluk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 o naknadama za rad članovima O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dbora direktora. Ova opcija uključuje jasno definisane propise koji osiguravaju pravične i transparentne naknade, usklađene sa zakonodavstvom, što doprinosi većoj efikasnosti i motivaciji članov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 odbora. Takođe može sadržati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mehanizme koji osiguravaju rodnu ravnopravnost.</w:t>
            </w:r>
          </w:p>
          <w:p w:rsidR="00C54DA3" w:rsidRDefault="00C54DA3" w:rsidP="00C54D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 xml:space="preserve">Opcija 3: 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Neregulatorna opcija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 Uv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ođenje interne politike unutar A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gencije ko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ja reguliše naknade za članove O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dbora direktora bez formalnog propisa. Iako ova opcija može biti fleksibilna, ona bi mogla izazvati problem sa usklađenošću sa zakonodavstvom i povećati rizik od nepravilnosti, budući da ne bi postojala zvanična zakonska osnova koja bi obezb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ij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edila sistematsku kontrolu.</w:t>
            </w:r>
          </w:p>
          <w:p w:rsidR="00C54DA3" w:rsidRPr="00EC1277" w:rsidRDefault="00C54DA3" w:rsidP="00C54D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Preferirana opcija je </w:t>
            </w:r>
            <w:r w:rsidRPr="00EC1277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regulatorna opcija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, koja podrazum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ijeva donošenje zvanične O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dluk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 o naknadama za rad članovima O</w:t>
            </w:r>
            <w:r w:rsidRPr="001C7884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dbora direktora. Ova opcija ima nekoliko ključnih prednosti: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EC1277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Uvođenjem zvaničnog propisa, naknade postaju jasno definisane, čime se eliminišu nesigurnosti ili potencijalni sukobi u vezi sa uslovima rada članova Odbora direktora. Svi članovi Odbora direktora, bez obzira na pol, znaju šta mogu da očekuju u pogledu svojih prava i obaveza.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EC1277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Kada se naknade jasno definišu i redovno prate, to povećava motivaciju članova Odbora direktora da ulože više truda i profesionalizma u svoje zadatke. Na ovaj način se doprinosi većoj efikasnosti u odlučivačkom proc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esu, što povoljno utiče na rad A</w:t>
            </w:r>
            <w:r w:rsidRPr="00EC1277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gencije.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</w:p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C54DA3" w:rsidRPr="00FB4752" w:rsidTr="00EC06B0">
        <w:tc>
          <w:tcPr>
            <w:tcW w:w="9576" w:type="dxa"/>
            <w:gridSpan w:val="2"/>
            <w:shd w:val="clear" w:color="auto" w:fill="D2EAF1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4. Analiza uticaja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 koga će i kako će najvjerovatnije uticati rješenja u propisu - nabrojati pozitivne i negativne uticaje, direktne i indirektne? Da li rješenja u propisu imaju uticaj na žene (pozitivne i negativne, direktne i indirektne?)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 troškove ili uštede će primjena propisa izazvati građanima i privredi (naročito malim i srednjim preduzećima)?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pozitivne posljedice donošenja propisa opravdavaju troškove koje će on stvoriti?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se propisom podržava stvaranje novih privrednih subjekata na tržištu i tržišna konkurencija?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Uključiti procjenu administrativnih opterećenja i biznis barijera.</w:t>
            </w:r>
          </w:p>
          <w:p w:rsidR="00C54DA3" w:rsidRPr="00FB4752" w:rsidRDefault="00C54DA3" w:rsidP="00EC06B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C54DA3" w:rsidRPr="00FB4752" w:rsidTr="00EC06B0">
        <w:tc>
          <w:tcPr>
            <w:tcW w:w="9576" w:type="dxa"/>
            <w:gridSpan w:val="2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:rsidR="00C54DA3" w:rsidRPr="005E1B35" w:rsidRDefault="00C54DA3" w:rsidP="00C54D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Pozitivni uticaji:</w:t>
            </w:r>
          </w:p>
          <w:p w:rsidR="00C54DA3" w:rsidRPr="005E1B35" w:rsidRDefault="00C54DA3" w:rsidP="00EC06B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:rsidR="00C54DA3" w:rsidRPr="005E1B35" w:rsidRDefault="00C54DA3" w:rsidP="00C54D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Na članove Odbora direktora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 Odluka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će jasno definisati naknade za rad članovima Odbora direktora, što će doprin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ij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eti većoj transparentnosti, pravičnosti i motivaciji za obavljanje njihovih zadataka. Jasno definisana pravila spr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ečavaju nesuglasice i omogućavaju bolje planiranje.</w:t>
            </w:r>
          </w:p>
          <w:p w:rsidR="00C54DA3" w:rsidRPr="005E1B35" w:rsidRDefault="00C54DA3" w:rsidP="00C54DA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Na Agenciju i njene partnere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 Veća efikasnost u radu Odbora direktora može poziti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vno uticati na efikasnost same A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gencije i njen rad, čime će se povećati pov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jerenje u rad A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gencije.</w:t>
            </w:r>
          </w:p>
          <w:p w:rsidR="00C54DA3" w:rsidRPr="005E1B35" w:rsidRDefault="00C54DA3" w:rsidP="00C54DA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Na žene u Odboru direktora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 Budući da su većina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članova Odbora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direktora - žene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jasno definisanje naknada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doprinosi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rodnoj ravnopravnosti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,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tako što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će 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svi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članovi, bez obzira na pol, biti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tretirani ravnopravno, a žene će imati veću sigurnost u pogledu svojih prava i obaveza.</w:t>
            </w:r>
          </w:p>
          <w:p w:rsidR="00C54DA3" w:rsidRPr="005E1B35" w:rsidRDefault="00C54DA3" w:rsidP="00EC06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:rsidR="00C54DA3" w:rsidRPr="00791A59" w:rsidRDefault="00C54DA3" w:rsidP="00C54DA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Negativni uticaji:</w:t>
            </w:r>
          </w:p>
          <w:p w:rsidR="00C54DA3" w:rsidRPr="005E1B35" w:rsidRDefault="00C54DA3" w:rsidP="00C54DA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Na administrativni sektor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 Uvođenje novih propisa može izazvati dodatne administrativne obaveze, jer će biti potrebno implementirati i pratiti nove procedure vezane za naknade, što može dovesti do povećanja administrativnog opterećenja u organizaciji.</w:t>
            </w:r>
          </w:p>
          <w:p w:rsidR="00C54DA3" w:rsidRDefault="00C54DA3" w:rsidP="00C54DA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Na budžet agencije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 Ako naknade postanu veće nego što je trenutno predviđeno, to može do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vesti do povećanih troškova za A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genciju, što bi moglo uticati na njen budžet i resurse</w:t>
            </w:r>
            <w:r w:rsidRPr="005E1B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.</w:t>
            </w:r>
          </w:p>
          <w:p w:rsidR="00C54DA3" w:rsidRDefault="00C54DA3" w:rsidP="00EC06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:rsidR="00C54DA3" w:rsidRPr="00791A59" w:rsidRDefault="00C54DA3" w:rsidP="00C54DA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Indirektni uticaji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</w:t>
            </w:r>
          </w:p>
          <w:p w:rsidR="00C54DA3" w:rsidRPr="00791A59" w:rsidRDefault="00C54DA3" w:rsidP="00EC06B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:rsidR="00C54DA3" w:rsidRDefault="00C54DA3" w:rsidP="00C54DA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Na povjerenje u rad Agencije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 Uvođenjem jasnih pravila, A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gencija može steći veće pov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erenje od strane zaposlenih i partnera, jer će svi biti sigurni da se naknade dod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eljuju po jasno definisanim kriterijumima.</w:t>
            </w:r>
          </w:p>
          <w:p w:rsidR="00C54DA3" w:rsidRDefault="00C54DA3" w:rsidP="00EC06B0">
            <w:pPr>
              <w:pStyle w:val="ListParagrap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:rsidR="00C54DA3" w:rsidRDefault="00C54DA3" w:rsidP="00C54DA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Da, pozitivne posl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edice donošenja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Odluke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opravdavaju troškove koje će on stvoriti. Jasno definisani propisi koji se odnose na naknade za rad članovima Odbora direktora mogu don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ij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eti dugoročne koristi u vidu veće efikasnosti, transparentnosti i stabilnosti u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Agenciji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 Uz to, uvođenje rodne ravnopravnosti može doprin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ij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eti boljoj motivaciji i većem pov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erenju svih članova Odbora direktora, bez obzira na pol. Iako inicijalni troškovi implementacije mogu biti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značajni, dugoročne koristi za A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genciju i društvo čine ih opravdanim.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</w:p>
          <w:p w:rsidR="00C54DA3" w:rsidRDefault="00C54DA3" w:rsidP="00EC06B0">
            <w:pPr>
              <w:pStyle w:val="ListParagrap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:rsidR="00C54DA3" w:rsidRPr="00791A59" w:rsidRDefault="00C54DA3" w:rsidP="00C54DA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Odluka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koji se odnosi na naknade članovima Odbora direktora neće imati direktan uticaj na stvaranje novih privrednih subjekata ili tržišnu konkurenciju, jer je primarno usm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eren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 na internu organizaciju A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gencije.</w:t>
            </w:r>
          </w:p>
        </w:tc>
      </w:tr>
      <w:tr w:rsidR="00C54DA3" w:rsidRPr="00FB4752" w:rsidTr="00EC06B0">
        <w:tc>
          <w:tcPr>
            <w:tcW w:w="9576" w:type="dxa"/>
            <w:gridSpan w:val="2"/>
            <w:shd w:val="clear" w:color="auto" w:fill="D2EAF1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lastRenderedPageBreak/>
              <w:t>5. Procjena fiskalnog uticaja</w:t>
            </w:r>
          </w:p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propis utiče na visinu prihoda ili troškova lokalne samouprave?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je potrebno obezbjeđenje finansijskih sredstava iz budžeta lokalnih samouprava odnosno budžeta Crne Gore za implementaciju propisa i u kom iznosu?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je obezbjeđenje finansijskih sredstava jednokratno, ili tokom određenog vremenskog perioda?  Obrazložiti.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su neophodna finansijska sredstva obezbijeđena u budžetu lokalnih samouprava odnosno budžetu Crne Gore za tekuću fiskalnu godinu, odnosno da li su planirana u budžetu za narednu fiskalnu godinu?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će se implementacijom propisa ostvariti prihod za lokalne samouprave odnosno za budžet Crne Gore?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 je potencijalni korisnik budžeta za implementaciju propisa (u kojem procentu bi korisnici mogli biti muškarci, a u kojem žene? Da li implementacija budžeta može biti uzrok neravnopravnosti između muškaraca i žena?)</w:t>
            </w:r>
          </w:p>
          <w:p w:rsidR="00C54DA3" w:rsidRPr="00FB4752" w:rsidRDefault="00C54DA3" w:rsidP="00EC06B0">
            <w:pPr>
              <w:pStyle w:val="ListParagraph"/>
              <w:ind w:left="63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C54DA3" w:rsidRPr="00FB4752" w:rsidTr="00EC06B0">
        <w:tc>
          <w:tcPr>
            <w:tcW w:w="9576" w:type="dxa"/>
            <w:gridSpan w:val="2"/>
          </w:tcPr>
          <w:p w:rsidR="00C54DA3" w:rsidRPr="001A019D" w:rsidRDefault="00C54DA3" w:rsidP="00EC06B0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:rsidR="00C54DA3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Da,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Odluka utiče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na troškove lokalne samouprave, jer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zahtijeva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povećanje izdvajanja za naknade za rad članovima Odbora direktora. Ukoliko se naknade za rad članovima Odbora direktora povećaju, to može dove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sti do većih troškova za lokalnu samoupravu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 Takođe, u zavisnosti od broja članova i visine naknada, može doći do prom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791A59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ene u budžetskim planiranjima na nivou lokalne samouprave.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</w:p>
          <w:p w:rsidR="00C54DA3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Naknada se utvrđuje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u mjesečnom iznosu u visini od po 150,00€ mjesečno za predsjednika Odbora direktora i po 100,00€ mjesečno za članove Odbora direktora.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Naknada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će se isplaćivati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za period od dana konstituisanja Odbora direktora DOO „Agencija za projektovanje i planiranje“ Nikšić.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Sredstva za isplatu naknade po ovoj odluci obezbijediće Društvo sa ograničenom odgovornošću „Agencija za projektovanje i planiranje“ Nikšić.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</w:p>
          <w:p w:rsidR="00C54DA3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Ne,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primjena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Odluke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najv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erovatnije neće ostv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ariti direktan prihod za lokalnu samoupravu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ili budžet Crne Gore. Propis se odnosi na naknade za rad članovima Odbora direktora, a ne na stvaranje prihoda. Iako će se povećati iznos izdvajanja za ove naknade, to neće direktno generisati prihod za budžet. Međutim, indirektno, ukoliko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Odluka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doprinese većoj efikasnosti u radu Odbora direktora, može pozitivno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uticati na ekonomske rezultate Agencije</w:t>
            </w:r>
            <w:r w:rsidRPr="008E1EE2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, što može imati šire pozitivne ekonomske efekte.</w:t>
            </w:r>
          </w:p>
          <w:p w:rsidR="00C54DA3" w:rsidRPr="00791A59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0352A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Ukoliko se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Odluka</w:t>
            </w:r>
            <w:r w:rsidRPr="000352A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prim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ij</w:t>
            </w:r>
            <w:r w:rsidRPr="000352A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eni u skladu sa principima rodne ravnopravnosti, implementacija budžeta neće izazvati neravnopravnost između muškaraca i žena. Međutim, ukoliko postoje faktori koji favorizuju jedan pol u pogledu naknada, to može dovesti do nejednakih koristi. U ovom slučaju, budući da su žene većina u Odboru, finansijski iznos koji se koristi za naknade neće predstavljati neravnopravnost, ali bi bilo važno da svi članovi Odbora, bez obzira na pol, imaju ravnopravne uslove za obavljanje svojih funkcija.</w:t>
            </w:r>
          </w:p>
          <w:p w:rsidR="00C54DA3" w:rsidRPr="001A019D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</w:tc>
      </w:tr>
      <w:tr w:rsidR="00C54DA3" w:rsidRPr="00FB4752" w:rsidTr="00EC06B0">
        <w:tc>
          <w:tcPr>
            <w:tcW w:w="9576" w:type="dxa"/>
            <w:gridSpan w:val="2"/>
            <w:shd w:val="clear" w:color="auto" w:fill="D2EAF1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6. Konsultacije zainteresovanih strana</w:t>
            </w:r>
          </w:p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Naznačiti da li je korišćena eksterna ekspertska podrška i ako da, kako.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Naznačiti koje su grupe zainteresovanih strana konsultovane, u kojoj fazi RIA procesa i kako (javne ili ciljane konsultacije).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 li su predstavnice ženskih udruženja i ranjivih grupa bile uključene u konsultacije?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C54DA3" w:rsidRPr="00FB4752" w:rsidTr="00EC06B0">
        <w:tc>
          <w:tcPr>
            <w:tcW w:w="9576" w:type="dxa"/>
            <w:gridSpan w:val="2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:rsidR="00C54DA3" w:rsidRPr="006D0308" w:rsidRDefault="00C54DA3" w:rsidP="00C54DA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Ne, u procesu izrade ove</w:t>
            </w:r>
            <w:r w:rsidRPr="000352A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Odluke</w:t>
            </w:r>
            <w:r w:rsidRPr="000352A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nije korišćena eksterna ekspertska podrška. Um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0352AC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esto toga, konsultacije su sprovedene interno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i usklađene sa važećim propisima. </w:t>
            </w:r>
          </w:p>
          <w:p w:rsidR="00C54DA3" w:rsidRPr="006D0308" w:rsidRDefault="00C54DA3" w:rsidP="00EC06B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C54DA3" w:rsidRPr="00FB4752" w:rsidTr="00EC06B0">
        <w:tc>
          <w:tcPr>
            <w:tcW w:w="9576" w:type="dxa"/>
            <w:gridSpan w:val="2"/>
            <w:shd w:val="clear" w:color="auto" w:fill="D2EAF1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lastRenderedPageBreak/>
              <w:t>7. Monitoring i evaluacija</w:t>
            </w:r>
          </w:p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Koje su potencijalne prepreke za implementaciju propisa? 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 su glavni indikatori prema kojima će se mjeriti ispunjenje ciljeva?</w:t>
            </w:r>
          </w:p>
          <w:p w:rsidR="00C54DA3" w:rsidRPr="00FB4752" w:rsidRDefault="00C54DA3" w:rsidP="00C54D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 će biti zadužen za sprovođenje monitoringa i evaluacije primjene propisa?</w:t>
            </w:r>
          </w:p>
        </w:tc>
      </w:tr>
      <w:tr w:rsidR="00C54DA3" w:rsidRPr="00FB4752" w:rsidTr="00EC06B0">
        <w:tc>
          <w:tcPr>
            <w:tcW w:w="9576" w:type="dxa"/>
            <w:gridSpan w:val="2"/>
          </w:tcPr>
          <w:p w:rsidR="00C54DA3" w:rsidRPr="00FB4752" w:rsidRDefault="00C54DA3" w:rsidP="00EC06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:rsidR="00C54DA3" w:rsidRPr="006D0308" w:rsidRDefault="00C54DA3" w:rsidP="00C54DA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u w:val="single"/>
                <w:lang w:val="sr-Latn-ME"/>
              </w:rPr>
              <w:t>Ograničena budžetska sredstva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 Ako lokalna samouprava odnosno A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ge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ncija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nemaju dovolj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no finansijskih sredstava u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budžetu za isplatu naknada članovima Odbora direktora, to može predstavljati značajnu prepreku za prim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enu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Odluke.</w:t>
            </w:r>
          </w:p>
          <w:p w:rsidR="00C54DA3" w:rsidRPr="006D0308" w:rsidRDefault="00C54DA3" w:rsidP="00C54DA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Glavni indikatori za m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erenje ispunjenja ciljeva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ove Odluke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su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Praćenje koliko se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sredstava iz budžeta lokalne samouprave ili Agencije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koristi za isplatu naknada, kao i praćenje održivosti ti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h troškova kroz nekoliko godina; p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raćenje da li su naknade za rad članovima Odbora direktora usklađene sa tržišnim standardima, a da istovremeno ne favorizuju jedan pol ili grupu u odnosu na drugi.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</w:p>
          <w:p w:rsidR="00C54DA3" w:rsidRPr="002C0657" w:rsidRDefault="00C54DA3" w:rsidP="00C54DA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 spro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vođenje monitoringa i evaluaciju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prim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ene 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Odluke odgovorna</w:t>
            </w:r>
            <w:r w:rsidRPr="006D0308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će biti sektora za ekonomsko - pravne poslove</w:t>
            </w:r>
            <w:r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. </w:t>
            </w:r>
          </w:p>
        </w:tc>
      </w:tr>
    </w:tbl>
    <w:p w:rsidR="00C54DA3" w:rsidRPr="00FB4752" w:rsidRDefault="00C54DA3" w:rsidP="00C54DA3">
      <w:pPr>
        <w:rPr>
          <w:rFonts w:ascii="Arial" w:hAnsi="Arial" w:cs="Arial"/>
          <w:b/>
          <w:lang w:val="sr-Latn-ME"/>
        </w:rPr>
      </w:pPr>
    </w:p>
    <w:p w:rsidR="00C54DA3" w:rsidRDefault="00C54DA3" w:rsidP="00C54DA3">
      <w:pPr>
        <w:rPr>
          <w:rFonts w:ascii="Arial" w:hAnsi="Arial" w:cs="Arial"/>
          <w:b/>
          <w:color w:val="17365D"/>
          <w:lang w:val="sr-Latn-ME"/>
        </w:rPr>
      </w:pPr>
    </w:p>
    <w:p w:rsidR="00C54DA3" w:rsidRDefault="00C54DA3" w:rsidP="00C54DA3">
      <w:pPr>
        <w:rPr>
          <w:rFonts w:ascii="Arial" w:hAnsi="Arial" w:cs="Arial"/>
          <w:b/>
          <w:color w:val="17365D"/>
          <w:lang w:val="sr-Latn-ME"/>
        </w:rPr>
      </w:pPr>
    </w:p>
    <w:p w:rsidR="00C54DA3" w:rsidRPr="00FB4752" w:rsidRDefault="00C54DA3" w:rsidP="00C54DA3">
      <w:pPr>
        <w:rPr>
          <w:rFonts w:ascii="Arial" w:hAnsi="Arial" w:cs="Arial"/>
          <w:b/>
          <w:color w:val="17365D"/>
          <w:lang w:val="sr-Latn-ME"/>
        </w:rPr>
      </w:pPr>
      <w:r>
        <w:rPr>
          <w:rFonts w:ascii="Arial" w:hAnsi="Arial" w:cs="Arial"/>
          <w:b/>
          <w:color w:val="17365D"/>
          <w:lang w:val="sr-Latn-ME"/>
        </w:rPr>
        <w:t xml:space="preserve">     </w:t>
      </w:r>
      <w:r w:rsidRPr="00FB4752">
        <w:rPr>
          <w:rFonts w:ascii="Arial" w:hAnsi="Arial" w:cs="Arial"/>
          <w:b/>
          <w:color w:val="17365D"/>
          <w:lang w:val="sr-Latn-ME"/>
        </w:rPr>
        <w:t xml:space="preserve">Datum i mjesto                                   </w:t>
      </w:r>
      <w:r>
        <w:rPr>
          <w:rFonts w:ascii="Arial" w:hAnsi="Arial" w:cs="Arial"/>
          <w:b/>
          <w:color w:val="17365D"/>
          <w:lang w:val="sr-Latn-ME"/>
        </w:rPr>
        <w:t xml:space="preserve">  </w:t>
      </w:r>
      <w:r w:rsidRPr="00FB4752">
        <w:rPr>
          <w:rFonts w:ascii="Arial" w:hAnsi="Arial" w:cs="Arial"/>
          <w:b/>
          <w:color w:val="17365D"/>
          <w:lang w:val="sr-Latn-ME"/>
        </w:rPr>
        <w:t xml:space="preserve">                       Predsjednik Opštine Nikšić</w:t>
      </w:r>
    </w:p>
    <w:p w:rsidR="00C54DA3" w:rsidRPr="00FB4752" w:rsidRDefault="00C54DA3" w:rsidP="00C54DA3">
      <w:pPr>
        <w:rPr>
          <w:rFonts w:ascii="Arial" w:hAnsi="Arial" w:cs="Arial"/>
          <w:lang w:val="sr-Latn-ME"/>
        </w:rPr>
      </w:pPr>
    </w:p>
    <w:p w:rsidR="00C54DA3" w:rsidRPr="00FB4752" w:rsidRDefault="00C54DA3" w:rsidP="00C54DA3">
      <w:pPr>
        <w:rPr>
          <w:rFonts w:ascii="Arial" w:hAnsi="Arial" w:cs="Arial"/>
          <w:lang w:val="sr-Latn-ME"/>
        </w:rPr>
      </w:pPr>
      <w:r w:rsidRPr="00FB4752">
        <w:rPr>
          <w:rFonts w:ascii="Arial" w:hAnsi="Arial" w:cs="Arial"/>
          <w:color w:val="17365D"/>
          <w:lang w:val="sr-Latn-ME"/>
        </w:rPr>
        <w:t>Nikšić,14.03.2025.</w:t>
      </w:r>
      <w:r>
        <w:rPr>
          <w:rFonts w:ascii="Arial" w:hAnsi="Arial" w:cs="Arial"/>
          <w:color w:val="17365D"/>
          <w:lang w:val="sr-Latn-ME"/>
        </w:rPr>
        <w:t>godine</w:t>
      </w:r>
      <w:r w:rsidRPr="00FB4752">
        <w:rPr>
          <w:rFonts w:ascii="Arial" w:hAnsi="Arial" w:cs="Arial"/>
          <w:color w:val="17365D"/>
          <w:lang w:val="sr-Latn-ME"/>
        </w:rPr>
        <w:tab/>
      </w:r>
      <w:r w:rsidRPr="00FB4752">
        <w:rPr>
          <w:rFonts w:ascii="Arial" w:hAnsi="Arial" w:cs="Arial"/>
          <w:color w:val="17365D"/>
          <w:lang w:val="sr-Latn-ME"/>
        </w:rPr>
        <w:tab/>
      </w:r>
      <w:r w:rsidRPr="00FB4752">
        <w:rPr>
          <w:rFonts w:ascii="Arial" w:hAnsi="Arial" w:cs="Arial"/>
          <w:color w:val="17365D"/>
          <w:lang w:val="sr-Latn-ME"/>
        </w:rPr>
        <w:tab/>
      </w:r>
      <w:r w:rsidRPr="00FB4752">
        <w:rPr>
          <w:rFonts w:ascii="Arial" w:hAnsi="Arial" w:cs="Arial"/>
          <w:color w:val="17365D"/>
          <w:lang w:val="sr-Latn-ME"/>
        </w:rPr>
        <w:tab/>
      </w:r>
      <w:r>
        <w:rPr>
          <w:rFonts w:ascii="Arial" w:hAnsi="Arial" w:cs="Arial"/>
          <w:color w:val="17365D"/>
          <w:lang w:val="sr-Latn-ME"/>
        </w:rPr>
        <w:t xml:space="preserve">       </w:t>
      </w:r>
      <w:r w:rsidRPr="00FB4752">
        <w:rPr>
          <w:rFonts w:ascii="Arial" w:hAnsi="Arial" w:cs="Arial"/>
          <w:color w:val="17365D"/>
          <w:lang w:val="sr-Latn-ME"/>
        </w:rPr>
        <w:t xml:space="preserve">  </w:t>
      </w:r>
      <w:r w:rsidRPr="00FB4752">
        <w:rPr>
          <w:rFonts w:ascii="Arial" w:hAnsi="Arial" w:cs="Arial"/>
          <w:color w:val="17365D"/>
          <w:lang w:val="sr-Latn-ME"/>
        </w:rPr>
        <w:tab/>
      </w:r>
      <w:r>
        <w:rPr>
          <w:rFonts w:ascii="Arial" w:hAnsi="Arial" w:cs="Arial"/>
          <w:color w:val="17365D"/>
          <w:lang w:val="sr-Latn-ME"/>
        </w:rPr>
        <w:t xml:space="preserve">   </w:t>
      </w:r>
      <w:r w:rsidRPr="00FB4752">
        <w:rPr>
          <w:rFonts w:ascii="Arial" w:hAnsi="Arial" w:cs="Arial"/>
          <w:color w:val="17365D"/>
          <w:lang w:val="sr-Latn-ME"/>
        </w:rPr>
        <w:t xml:space="preserve">   </w:t>
      </w:r>
      <w:r>
        <w:rPr>
          <w:rFonts w:ascii="Arial" w:hAnsi="Arial" w:cs="Arial"/>
          <w:color w:val="17365D"/>
          <w:lang w:val="sr-Latn-ME"/>
        </w:rPr>
        <w:t xml:space="preserve">        </w:t>
      </w:r>
      <w:r w:rsidR="006344B9">
        <w:rPr>
          <w:rFonts w:ascii="Arial" w:hAnsi="Arial" w:cs="Arial"/>
          <w:color w:val="17365D"/>
          <w:lang w:val="sr-Latn-ME"/>
        </w:rPr>
        <w:t>Marko Kovačević,s.r.</w:t>
      </w:r>
      <w:bookmarkStart w:id="0" w:name="_GoBack"/>
      <w:bookmarkEnd w:id="0"/>
      <w:r w:rsidRPr="00FB4752">
        <w:rPr>
          <w:rFonts w:ascii="Arial" w:hAnsi="Arial" w:cs="Arial"/>
          <w:color w:val="17365D"/>
          <w:lang w:val="sr-Latn-ME"/>
        </w:rPr>
        <w:tab/>
      </w:r>
      <w:r w:rsidRPr="00FB4752">
        <w:rPr>
          <w:rFonts w:ascii="Arial" w:hAnsi="Arial" w:cs="Arial"/>
          <w:color w:val="17365D"/>
          <w:lang w:val="sr-Latn-ME"/>
        </w:rPr>
        <w:tab/>
      </w:r>
      <w:r w:rsidRPr="00FB4752">
        <w:rPr>
          <w:rFonts w:ascii="Arial" w:hAnsi="Arial" w:cs="Arial"/>
          <w:lang w:val="sr-Latn-ME"/>
        </w:rPr>
        <w:tab/>
      </w:r>
      <w:r w:rsidRPr="00FB4752">
        <w:rPr>
          <w:rFonts w:ascii="Arial" w:hAnsi="Arial" w:cs="Arial"/>
          <w:lang w:val="sr-Latn-ME"/>
        </w:rPr>
        <w:tab/>
      </w:r>
      <w:r w:rsidRPr="00FB4752">
        <w:rPr>
          <w:rFonts w:ascii="Arial" w:hAnsi="Arial" w:cs="Arial"/>
          <w:lang w:val="sr-Latn-ME"/>
        </w:rPr>
        <w:tab/>
      </w:r>
      <w:r w:rsidRPr="00FB4752">
        <w:rPr>
          <w:rFonts w:ascii="Arial" w:hAnsi="Arial" w:cs="Arial"/>
          <w:lang w:val="sr-Latn-ME"/>
        </w:rPr>
        <w:tab/>
      </w:r>
      <w:r w:rsidRPr="00FB4752">
        <w:rPr>
          <w:rFonts w:ascii="Arial" w:hAnsi="Arial" w:cs="Arial"/>
          <w:lang w:val="sr-Latn-ME"/>
        </w:rPr>
        <w:tab/>
      </w:r>
      <w:r w:rsidRPr="00FB4752">
        <w:rPr>
          <w:rFonts w:ascii="Arial" w:hAnsi="Arial" w:cs="Arial"/>
          <w:lang w:val="sr-Latn-ME"/>
        </w:rPr>
        <w:tab/>
      </w:r>
    </w:p>
    <w:p w:rsidR="003C7B2C" w:rsidRPr="003C7B2C" w:rsidRDefault="003C7B2C" w:rsidP="003C7B2C"/>
    <w:sectPr w:rsidR="003C7B2C" w:rsidRPr="003C7B2C" w:rsidSect="003E3216">
      <w:head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BC" w:rsidRDefault="00EF5FBC" w:rsidP="0012249D">
      <w:r>
        <w:separator/>
      </w:r>
    </w:p>
  </w:endnote>
  <w:endnote w:type="continuationSeparator" w:id="0">
    <w:p w:rsidR="00EF5FBC" w:rsidRDefault="00EF5FBC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BC" w:rsidRDefault="00EF5FBC" w:rsidP="0012249D">
      <w:r>
        <w:separator/>
      </w:r>
    </w:p>
  </w:footnote>
  <w:footnote w:type="continuationSeparator" w:id="0">
    <w:p w:rsidR="00EF5FBC" w:rsidRDefault="00EF5FBC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 w:val="0"/>
      </w:rPr>
      <w:fldChar w:fldCharType="begin"/>
    </w:r>
    <w:r w:rsidR="0012249D" w:rsidRPr="00150A6E">
      <w:instrText xml:space="preserve"> PAGE </w:instrText>
    </w:r>
    <w:r w:rsidR="0012249D" w:rsidRPr="00150A6E">
      <w:rPr>
        <w:bCs w:val="0"/>
      </w:rPr>
      <w:fldChar w:fldCharType="separate"/>
    </w:r>
    <w:r w:rsidR="006344B9">
      <w:rPr>
        <w:noProof/>
      </w:rPr>
      <w:t>4</w:t>
    </w:r>
    <w:r w:rsidR="0012249D" w:rsidRPr="00150A6E">
      <w:rPr>
        <w:bCs w:val="0"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 w:val="0"/>
      </w:rPr>
      <w:fldChar w:fldCharType="begin"/>
    </w:r>
    <w:r w:rsidR="0012249D" w:rsidRPr="00150A6E">
      <w:instrText xml:space="preserve"> NUMPAGES  </w:instrText>
    </w:r>
    <w:r w:rsidR="0012249D" w:rsidRPr="00150A6E">
      <w:rPr>
        <w:bCs w:val="0"/>
      </w:rPr>
      <w:fldChar w:fldCharType="separate"/>
    </w:r>
    <w:r w:rsidR="006344B9">
      <w:rPr>
        <w:noProof/>
      </w:rPr>
      <w:t>4</w:t>
    </w:r>
    <w:r w:rsidR="0012249D" w:rsidRPr="00150A6E">
      <w:rPr>
        <w:bCs w:val="0"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456973"/>
    <w:multiLevelType w:val="hybridMultilevel"/>
    <w:tmpl w:val="B4941F86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4250"/>
    <w:multiLevelType w:val="hybridMultilevel"/>
    <w:tmpl w:val="C4987428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D56CE"/>
    <w:multiLevelType w:val="hybridMultilevel"/>
    <w:tmpl w:val="ABE27A54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8504881"/>
    <w:multiLevelType w:val="hybridMultilevel"/>
    <w:tmpl w:val="40AEE7E6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75369"/>
    <w:multiLevelType w:val="hybridMultilevel"/>
    <w:tmpl w:val="93222BC8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"/>
  </w:num>
  <w:num w:numId="30">
    <w:abstractNumId w:val="3"/>
  </w:num>
  <w:num w:numId="31">
    <w:abstractNumId w:val="5"/>
  </w:num>
  <w:num w:numId="32">
    <w:abstractNumId w:val="6"/>
  </w:num>
  <w:num w:numId="33">
    <w:abstractNumId w:val="1"/>
  </w:num>
  <w:num w:numId="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26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344B9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C133F6"/>
    <w:rsid w:val="00C37303"/>
    <w:rsid w:val="00C54DA3"/>
    <w:rsid w:val="00C66683"/>
    <w:rsid w:val="00CE65FC"/>
    <w:rsid w:val="00D72BD5"/>
    <w:rsid w:val="00DF3626"/>
    <w:rsid w:val="00EA757B"/>
    <w:rsid w:val="00EF5FBC"/>
    <w:rsid w:val="00F13387"/>
    <w:rsid w:val="00F37365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C54DA3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hAnsiTheme="majorHAnsi"/>
      <w:b/>
      <w:bCs w:val="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hAnsiTheme="majorHAnsi"/>
      <w:b/>
      <w:bCs w:val="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hAnsiTheme="majorHAnsi"/>
      <w:b/>
      <w:bCs w:val="0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hAnsiTheme="majorHAns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hAnsi="Calibri Light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99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/>
      <w:ind w:left="567"/>
    </w:pPr>
    <w:rPr>
      <w:i/>
      <w:i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C54DA3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hAnsiTheme="majorHAnsi"/>
      <w:b/>
      <w:bCs w:val="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hAnsiTheme="majorHAnsi"/>
      <w:b/>
      <w:bCs w:val="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hAnsiTheme="majorHAnsi"/>
      <w:b/>
      <w:bCs w:val="0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hAnsiTheme="majorHAns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hAnsi="Calibri Light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99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2C63-EC2C-44A5-8D0B-B210B3E4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2109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Biljana Đurović</cp:lastModifiedBy>
  <cp:revision>4</cp:revision>
  <dcterms:created xsi:type="dcterms:W3CDTF">2025-03-17T12:57:00Z</dcterms:created>
  <dcterms:modified xsi:type="dcterms:W3CDTF">2025-03-17T12:59:00Z</dcterms:modified>
</cp:coreProperties>
</file>