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CF" w:rsidRPr="0046089C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93"/>
        <w:gridCol w:w="5447"/>
      </w:tblGrid>
      <w:tr w:rsidR="00C72668" w:rsidRPr="0046089C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46089C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IZVJEŠTAJ</w:t>
            </w:r>
            <w:r w:rsidR="005F6D49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 ANALIZI UTICAJA PROPISA</w:t>
            </w:r>
            <w:r w:rsidR="00C111D8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LOKALNE SAMOUPRAVE</w:t>
            </w:r>
          </w:p>
        </w:tc>
      </w:tr>
      <w:tr w:rsidR="004B549B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46089C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  <w:p w:rsidR="00704B50" w:rsidRPr="0046089C" w:rsidRDefault="00704B50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OBRAĐIVAČ</w:t>
            </w:r>
          </w:p>
        </w:tc>
        <w:tc>
          <w:tcPr>
            <w:tcW w:w="5598" w:type="dxa"/>
          </w:tcPr>
          <w:p w:rsidR="008322D4" w:rsidRPr="001C078C" w:rsidRDefault="001C078C" w:rsidP="00704B50">
            <w:pPr>
              <w:spacing w:before="6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Predsjednik Opštine</w:t>
            </w:r>
          </w:p>
        </w:tc>
      </w:tr>
      <w:tr w:rsidR="004B549B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46089C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46089C" w:rsidRDefault="0013623B" w:rsidP="001C078C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bCs w:val="0"/>
                <w:i w:val="0"/>
                <w:color w:val="auto"/>
                <w:sz w:val="20"/>
                <w:szCs w:val="20"/>
                <w:lang w:val="sr-Latn-ME" w:eastAsia="en-US"/>
              </w:rPr>
              <w:t>Odluka</w:t>
            </w:r>
            <w:r w:rsidR="001F312D" w:rsidRPr="0046089C">
              <w:rPr>
                <w:rFonts w:ascii="Arial" w:hAnsi="Arial" w:cs="Arial"/>
                <w:bCs w:val="0"/>
                <w:i w:val="0"/>
                <w:color w:val="auto"/>
                <w:sz w:val="20"/>
                <w:szCs w:val="20"/>
                <w:lang w:val="sr-Latn-ME" w:eastAsia="en-US"/>
              </w:rPr>
              <w:t xml:space="preserve"> o </w:t>
            </w:r>
            <w:r w:rsidR="005109BD" w:rsidRPr="0046089C">
              <w:rPr>
                <w:rFonts w:ascii="Arial" w:hAnsi="Arial" w:cs="Arial"/>
                <w:bCs w:val="0"/>
                <w:i w:val="0"/>
                <w:noProof/>
                <w:color w:val="auto"/>
                <w:sz w:val="20"/>
                <w:szCs w:val="20"/>
                <w:lang w:val="sr-Latn-ME" w:eastAsia="en-US"/>
              </w:rPr>
              <w:t xml:space="preserve"> kreditnom zaduženju Opštine Nikšić</w:t>
            </w:r>
          </w:p>
        </w:tc>
      </w:tr>
      <w:tr w:rsidR="008322D4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:rsidR="003A1DC0" w:rsidRPr="0046089C" w:rsidRDefault="003A1DC0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8E4862" w:rsidRPr="0046089C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:rsidR="008E4862" w:rsidRPr="0046089C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 osnov za donošenje propisa, kao i odnos sa strate</w:t>
            </w:r>
            <w:r w:rsidR="00C773E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š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kim dokumentima lokalne samouprave ako postoji?</w:t>
            </w:r>
          </w:p>
          <w:p w:rsidR="008E4862" w:rsidRPr="0046089C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lokalna samouprava može odstupati od odr</w:t>
            </w:r>
            <w:r w:rsidR="00741A3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edbi propisa na državnom nivou i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kojoj mjeri?</w:t>
            </w:r>
          </w:p>
          <w:p w:rsidR="008E4862" w:rsidRPr="0046089C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riječ o sopstvenim nadležnostima ili prenes</w:t>
            </w:r>
            <w:r w:rsidR="00C773E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nom, odnosno povjerenom poslu lokalne samouprave?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:rsidR="00BE11B9" w:rsidRPr="0046089C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Dali problem ima rodnu dimenziju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:rsidR="00A07773" w:rsidRPr="0046089C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(žene-muškarci)</w:t>
            </w:r>
          </w:p>
          <w:p w:rsidR="00C111D8" w:rsidRPr="0046089C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  <w:bookmarkStart w:id="0" w:name="_GoBack"/>
        <w:bookmarkEnd w:id="0"/>
      </w:tr>
      <w:tr w:rsidR="008322D4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1C078C" w:rsidRPr="001C078C" w:rsidRDefault="001C078C" w:rsidP="001C0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0" w:after="200"/>
              <w:rPr>
                <w:rFonts w:ascii="Arial" w:hAnsi="Arial" w:cs="Arial"/>
                <w:b w:val="0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1C078C">
              <w:rPr>
                <w:rFonts w:ascii="Arial" w:hAnsi="Arial" w:cs="Arial"/>
                <w:b w:val="0"/>
                <w:noProof/>
                <w:color w:val="000000"/>
                <w:sz w:val="20"/>
                <w:szCs w:val="20"/>
                <w:lang w:val="sr-Latn-CS" w:eastAsia="sr-Latn-CS"/>
              </w:rPr>
              <w:t>Evropska investiciona banka (EIB) i Vlada Crne Gore koju predstavlja Ministarstvo finansija zaključili su ugovor o kreditu i finansiranju za projekat „Vodosnadbijevanje i otpadne vode u Crnoj Gori'' kojim je Evropska investiciona banka predvidjela finansijski okvir od 57.000.000,00€ za finansiranje izgradnje i rekonstrukcije komunalne - infrastrukture u crnogorskim opštinama.</w:t>
            </w:r>
          </w:p>
          <w:p w:rsidR="001C078C" w:rsidRPr="001C078C" w:rsidRDefault="001C078C" w:rsidP="001C0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0" w:after="200"/>
              <w:rPr>
                <w:rFonts w:ascii="Arial" w:hAnsi="Arial" w:cs="Arial"/>
                <w:b w:val="0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1C078C">
              <w:rPr>
                <w:rFonts w:ascii="Arial" w:hAnsi="Arial" w:cs="Arial"/>
                <w:b w:val="0"/>
                <w:noProof/>
                <w:color w:val="000000"/>
                <w:sz w:val="20"/>
                <w:szCs w:val="20"/>
                <w:lang w:val="sr-Latn-CS" w:eastAsia="sr-Latn-CS"/>
              </w:rPr>
              <w:t>Vlada Crne Gore je, Zaključkom  broj: 08-335/24 -1491/2, od 28. 03. 2024. godine, dala saglasnost da se preostala sredstva iz Okvirnog ugovora „Vodosnabdjevanje i otpadne vode u Crnoj Gori'' i pratećih finansijskih ugovora B, C, D i E, namijenjena za sakupljanje i prečišćavanje otpadnih voda i unapređenje sistema vodosnabdjevanja preraspodijele opštini Nikšić.</w:t>
            </w:r>
          </w:p>
          <w:p w:rsidR="003A1DC0" w:rsidRPr="003A1DC0" w:rsidRDefault="001C078C" w:rsidP="001C0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0" w:after="200"/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</w:pPr>
            <w:r w:rsidRPr="001C078C">
              <w:rPr>
                <w:rFonts w:ascii="Arial" w:hAnsi="Arial" w:cs="Arial"/>
                <w:b w:val="0"/>
                <w:noProof/>
                <w:color w:val="000000"/>
                <w:sz w:val="20"/>
                <w:szCs w:val="20"/>
                <w:lang w:val="sr-Latn-CS" w:eastAsia="sr-Latn-CS"/>
              </w:rPr>
              <w:t xml:space="preserve">U tom smislu, potrebno je zaključiti ugovor o prosljeđivanju predmetnih kreditnih sredstava opštini Nikšić, u iznosu od 3.000.000,00 eura. </w:t>
            </w:r>
          </w:p>
          <w:p w:rsidR="003A1DC0" w:rsidRDefault="001C078C" w:rsidP="003A1DC0">
            <w:pPr>
              <w:pStyle w:val="ListParagraph"/>
              <w:autoSpaceDE w:val="0"/>
              <w:autoSpaceDN w:val="0"/>
              <w:adjustRightInd w:val="0"/>
              <w:spacing w:before="200" w:after="200"/>
              <w:ind w:left="928"/>
              <w:rPr>
                <w:rStyle w:val="HTMLCode"/>
                <w:rFonts w:ascii="Arial" w:hAnsi="Arial" w:cs="Arial"/>
                <w:b w:val="0"/>
              </w:rPr>
            </w:pPr>
            <w:r w:rsidRPr="001C078C">
              <w:rPr>
                <w:rFonts w:ascii="Arial" w:hAnsi="Arial" w:cs="Arial"/>
                <w:b w:val="0"/>
                <w:noProof/>
                <w:color w:val="000000"/>
                <w:sz w:val="20"/>
                <w:szCs w:val="20"/>
                <w:lang w:val="sr-Latn-CS" w:eastAsia="sr-Latn-CS"/>
              </w:rPr>
              <w:t xml:space="preserve">Da bi se mogao zaključiti ugovor o prenosu </w:t>
            </w:r>
            <w:r w:rsidRPr="001C078C">
              <w:rPr>
                <w:rStyle w:val="HTMLCode"/>
                <w:rFonts w:ascii="Arial" w:hAnsi="Arial" w:cs="Arial"/>
                <w:b w:val="0"/>
              </w:rPr>
              <w:t>kreditnih sredstava koja su obezbijeđena iz aranžmana zaključenog između Vlade Crne Gore i Evropske investicione banke, bilo je neophodno da Skupština opštine Nikšić donese odluku o kreditnom zaduženju u iznosu sredstava koja će se prosljeđivati, to se pristupilo radu na ovoj odluci.</w:t>
            </w:r>
          </w:p>
          <w:p w:rsidR="001C078C" w:rsidRPr="001C078C" w:rsidRDefault="001C078C" w:rsidP="003A1DC0">
            <w:pPr>
              <w:pStyle w:val="ListParagraph"/>
              <w:autoSpaceDE w:val="0"/>
              <w:autoSpaceDN w:val="0"/>
              <w:adjustRightInd w:val="0"/>
              <w:spacing w:before="200" w:after="200"/>
              <w:ind w:left="928"/>
              <w:rPr>
                <w:rFonts w:ascii="Arial" w:hAnsi="Arial" w:cs="Arial"/>
                <w:b w:val="0"/>
                <w:noProof/>
                <w:sz w:val="20"/>
                <w:szCs w:val="20"/>
                <w:lang w:val="sr-Latn-ME"/>
              </w:rPr>
            </w:pPr>
            <w:r w:rsidRPr="001C078C">
              <w:rPr>
                <w:rStyle w:val="HTMLCode"/>
                <w:rFonts w:ascii="Arial" w:hAnsi="Arial" w:cs="Arial"/>
                <w:b w:val="0"/>
              </w:rPr>
              <w:t>Nakon što bi predmetna odluka bila donesena, pristupilo bi se zaključenju ugovora o prenosu kreditnih sredstava obezbijeđenih gore navedenim aranžmanom, kojim će biti definisani svi relevantni uslovi: period na koji se isti zaključuje, plan otplate, kamatna stopa kao i sredstva</w:t>
            </w:r>
            <w:r>
              <w:rPr>
                <w:rStyle w:val="HTMLCode"/>
                <w:rFonts w:ascii="Arial" w:hAnsi="Arial" w:cs="Arial"/>
                <w:b w:val="0"/>
              </w:rPr>
              <w:t xml:space="preserve"> </w:t>
            </w:r>
            <w:r w:rsidRPr="001C078C">
              <w:rPr>
                <w:rStyle w:val="HTMLCode"/>
                <w:rFonts w:ascii="Arial" w:hAnsi="Arial" w:cs="Arial"/>
                <w:b w:val="0"/>
              </w:rPr>
              <w:t>obezbjeđenja.</w:t>
            </w:r>
          </w:p>
          <w:p w:rsidR="00DF67D8" w:rsidRPr="001C078C" w:rsidRDefault="00DF67D8" w:rsidP="001C07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0" w:after="200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 xml:space="preserve">Zakonski osnov za donošenje Odluke </w:t>
            </w:r>
            <w:r w:rsidR="0046089C"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 xml:space="preserve">o </w:t>
            </w:r>
            <w:r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>kreditnom zaduženju Opštine Nikšić</w:t>
            </w:r>
            <w:r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 </w:t>
            </w:r>
            <w:r w:rsidRPr="001C078C">
              <w:rPr>
                <w:rFonts w:ascii="Arial" w:eastAsia="Cambria" w:hAnsi="Arial" w:cs="Arial"/>
                <w:b w:val="0"/>
                <w:sz w:val="20"/>
                <w:szCs w:val="20"/>
                <w:lang w:val="en-US" w:eastAsia="en-US"/>
              </w:rPr>
              <w:t>sadržan je u odredbama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CS" w:eastAsia="sr-Latn-CS"/>
              </w:rPr>
              <w:t xml:space="preserve"> Zakona o lokalnoj samoupravi </w:t>
            </w:r>
            <w:r w:rsidR="006631F8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 w:eastAsia="sr-Latn-CS"/>
              </w:rPr>
              <w:t>(„Službeni list</w:t>
            </w:r>
            <w:r w:rsidRPr="001C0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 w:eastAsia="sr-Latn-CS"/>
              </w:rPr>
              <w:t xml:space="preserve"> list </w:t>
            </w:r>
            <w:r w:rsidRPr="001C078C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CG</w:t>
            </w:r>
            <w:r w:rsidRPr="001C0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 w:eastAsia="sr-Latn-CS"/>
              </w:rPr>
              <w:t xml:space="preserve">“, br. 02/18, </w:t>
            </w:r>
            <w:r w:rsidRPr="001C078C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>34/19, 38/20, 50/22,</w:t>
            </w:r>
            <w:r w:rsidR="001C078C"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 xml:space="preserve"> 84/22,</w:t>
            </w:r>
            <w:r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 xml:space="preserve"> 81/25</w:t>
            </w:r>
            <w:r w:rsidR="001C078C"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 xml:space="preserve"> i 98/25</w:t>
            </w:r>
            <w:r w:rsidRPr="001C078C">
              <w:rPr>
                <w:rFonts w:ascii="Arial" w:hAnsi="Arial" w:cs="Arial"/>
                <w:b w:val="0"/>
                <w:sz w:val="20"/>
                <w:szCs w:val="20"/>
                <w:lang w:val="sr-Latn-CS" w:eastAsia="sr-Latn-CS"/>
              </w:rPr>
              <w:t xml:space="preserve">) , 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Zakona o fi</w:t>
            </w:r>
            <w:r w:rsid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nansiranju lokalne samouprave ,,</w:t>
            </w:r>
            <w:r w:rsidR="003A1DC0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Službeni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 list C</w:t>
            </w:r>
            <w:r w:rsidR="006631F8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rne 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G</w:t>
            </w:r>
            <w:r w:rsidR="006631F8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ore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" br. 03/19, 86/22, 05/24, 07/24 i 92/25</w:t>
            </w:r>
            <w:r w:rsidR="001C078C" w:rsidRPr="001C078C">
              <w:rPr>
                <w:rFonts w:ascii="Arial" w:eastAsiaTheme="minorHAnsi" w:hAnsi="Arial" w:cs="Arial"/>
                <w:b w:val="0"/>
                <w:sz w:val="22"/>
              </w:rPr>
              <w:t xml:space="preserve"> i 149/25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) 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CS" w:eastAsia="sr-Latn-CS"/>
              </w:rPr>
              <w:t xml:space="preserve">i 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en-US"/>
              </w:rPr>
              <w:t>Statuta opštine Nikšić</w:t>
            </w:r>
            <w:r w:rsidRPr="001C0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 w:eastAsia="sr-Latn-CS"/>
              </w:rPr>
              <w:t xml:space="preserve">  </w:t>
            </w:r>
            <w:r w:rsid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(,,</w:t>
            </w:r>
            <w:r w:rsidR="003A1DC0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Službeni list  C</w:t>
            </w:r>
            <w:r w:rsidR="006631F8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rne </w:t>
            </w:r>
            <w:r w:rsidR="003A1DC0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G</w:t>
            </w:r>
            <w:r w:rsidR="006631F8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ore</w:t>
            </w:r>
            <w:r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 - Opštins</w:t>
            </w:r>
            <w:r w:rsidR="001C078C"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ki propisi", br. 31/18, 21/23</w:t>
            </w:r>
            <w:r w:rsidR="003A1DC0"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 i 42/25</w:t>
            </w:r>
            <w:r w:rsidR="001C078C"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 i </w:t>
            </w:r>
            <w:r w:rsidR="003A1DC0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"Službeni list C</w:t>
            </w:r>
            <w:r w:rsidR="006631F8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rne </w:t>
            </w:r>
            <w:r w:rsidR="003A1DC0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G</w:t>
            </w:r>
            <w:r w:rsidR="006631F8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ore</w:t>
            </w:r>
            <w:r w:rsidR="003A1DC0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" broj</w:t>
            </w:r>
            <w:r w:rsidRPr="001C078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 </w:t>
            </w:r>
            <w:r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62/25</w:t>
            </w:r>
            <w:r w:rsidR="001C078C"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)</w:t>
            </w:r>
            <w:r w:rsidRPr="001C078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.</w:t>
            </w:r>
          </w:p>
          <w:p w:rsidR="00C757CB" w:rsidRPr="006631F8" w:rsidRDefault="006631F8" w:rsidP="006631F8">
            <w:pPr>
              <w:autoSpaceDE w:val="0"/>
              <w:autoSpaceDN w:val="0"/>
              <w:adjustRightInd w:val="0"/>
              <w:spacing w:before="200" w:after="200"/>
              <w:ind w:left="568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 w:rsidRPr="006631F8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lastRenderedPageBreak/>
              <w:t>-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Propis se odnosi n</w:t>
            </w:r>
            <w:r w:rsidR="00C757CB" w:rsidRPr="006631F8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a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poslove </w:t>
            </w:r>
            <w:r w:rsidR="00C757CB" w:rsidRPr="006631F8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iz nadležnosti Opštine.</w:t>
            </w:r>
          </w:p>
          <w:p w:rsidR="00C757CB" w:rsidRPr="003A1DC0" w:rsidRDefault="003A1DC0" w:rsidP="003A1DC0">
            <w:pPr>
              <w:autoSpaceDE w:val="0"/>
              <w:autoSpaceDN w:val="0"/>
              <w:adjustRightInd w:val="0"/>
              <w:spacing w:before="200" w:after="200"/>
              <w:ind w:left="568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 w:rsidRPr="003A1DC0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-</w:t>
            </w:r>
            <w:r w:rsidR="00C757CB" w:rsidRPr="003A1DC0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Donošenjem predloženog akta se stvaraju uslovi za zaključivanje ugovora o prosljeđivanju sredstava za realizaciju ovog projekta.</w:t>
            </w:r>
          </w:p>
          <w:p w:rsidR="00C757CB" w:rsidRPr="0046089C" w:rsidRDefault="001C078C" w:rsidP="001C078C">
            <w:pPr>
              <w:autoSpaceDE w:val="0"/>
              <w:autoSpaceDN w:val="0"/>
              <w:adjustRightInd w:val="0"/>
              <w:spacing w:before="200" w:after="200"/>
              <w:ind w:left="567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-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Ovaj akt nema rodnu dimenziju.</w:t>
            </w:r>
          </w:p>
          <w:p w:rsidR="00C757CB" w:rsidRPr="0046089C" w:rsidRDefault="001C078C" w:rsidP="001C078C">
            <w:pPr>
              <w:autoSpaceDE w:val="0"/>
              <w:autoSpaceDN w:val="0"/>
              <w:adjustRightInd w:val="0"/>
              <w:spacing w:before="200" w:after="200"/>
              <w:ind w:left="567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-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Uzroci problema su nepokrivenost cijele opštine kanalizacionom mrežom za prikupljanje otpadnih voda.</w:t>
            </w:r>
          </w:p>
          <w:p w:rsidR="00C757CB" w:rsidRPr="0046089C" w:rsidRDefault="001C078C" w:rsidP="001C078C">
            <w:pPr>
              <w:autoSpaceDE w:val="0"/>
              <w:autoSpaceDN w:val="0"/>
              <w:adjustRightInd w:val="0"/>
              <w:spacing w:before="200" w:after="200"/>
              <w:ind w:left="567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-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Posljedica </w:t>
            </w:r>
            <w:r w:rsidR="006631F8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problema je u tome 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što se ne prečišćavaju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sve otpadne vode sa teritorije o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pštine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 </w:t>
            </w:r>
            <w:r w:rsidR="00B06B34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Nikšić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.</w:t>
            </w:r>
          </w:p>
          <w:p w:rsidR="00C757CB" w:rsidRPr="0046089C" w:rsidRDefault="001C078C" w:rsidP="001C078C">
            <w:pPr>
              <w:autoSpaceDE w:val="0"/>
              <w:autoSpaceDN w:val="0"/>
              <w:adjustRightInd w:val="0"/>
              <w:spacing w:before="200" w:after="200"/>
              <w:ind w:left="567"/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-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Donošenjem ovog akta nema oštećenih subjekata.</w:t>
            </w:r>
          </w:p>
          <w:p w:rsidR="005109BD" w:rsidRPr="0046089C" w:rsidRDefault="001C078C" w:rsidP="001C078C">
            <w:pPr>
              <w:autoSpaceDE w:val="0"/>
              <w:autoSpaceDN w:val="0"/>
              <w:adjustRightInd w:val="0"/>
              <w:spacing w:before="200" w:after="200"/>
              <w:ind w:left="567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>-</w:t>
            </w:r>
            <w:r w:rsidR="00C757CB" w:rsidRPr="0046089C">
              <w:rPr>
                <w:rFonts w:ascii="Arial" w:eastAsia="Calibri" w:hAnsi="Arial" w:cs="Arial"/>
                <w:b w:val="0"/>
                <w:sz w:val="20"/>
                <w:szCs w:val="20"/>
                <w:lang w:val="hr-HR" w:eastAsia="en-US"/>
              </w:rPr>
              <w:t xml:space="preserve">Nedonošenjem ovog propisa ne bi se mogao raditi ovaj projekat. </w:t>
            </w:r>
          </w:p>
        </w:tc>
      </w:tr>
      <w:tr w:rsidR="008322D4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2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:rsidR="003A1DC0" w:rsidRPr="0046089C" w:rsidRDefault="003A1DC0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:rsidR="00BE11B9" w:rsidRPr="0046089C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Dali bilo koji od ciljeva unapređuje rodnu ravnopravnost? (ako 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je 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odgovor ne, da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se 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može defini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ati cilj koji unapređuje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rodnu ravnopravnost?)</w:t>
            </w:r>
          </w:p>
          <w:p w:rsidR="00A07773" w:rsidRPr="0046089C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A1DC0" w:rsidRDefault="003A1DC0" w:rsidP="003A1DC0">
            <w:pPr>
              <w:pStyle w:val="ListParagraph"/>
              <w:spacing w:before="60" w:after="120" w:line="276" w:lineRule="auto"/>
              <w:ind w:left="928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</w:p>
          <w:p w:rsidR="00AA117E" w:rsidRPr="0046089C" w:rsidRDefault="002E1074" w:rsidP="003A1DC0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Predloženim propisom se stvaraju uslovi za realizaciju projekta izgradnje II faze kanalizacione mreže</w:t>
            </w:r>
            <w:r w:rsidR="00236B2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, kako bi se sakupljala i prečišćavala što veća količina otpadnih voda, a time štitila životna sredina</w:t>
            </w: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. </w:t>
            </w:r>
          </w:p>
        </w:tc>
      </w:tr>
      <w:tr w:rsidR="008322D4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46089C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:rsidR="001C078C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</w:t>
            </w:r>
          </w:p>
          <w:p w:rsidR="003A1DC0" w:rsidRDefault="003A1DC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A07773" w:rsidRPr="0046089C" w:rsidRDefault="008169A7" w:rsidP="001C078C">
            <w:pPr>
              <w:pStyle w:val="ListParagraph"/>
              <w:autoSpaceDE w:val="0"/>
              <w:autoSpaceDN w:val="0"/>
              <w:adjustRightInd w:val="0"/>
              <w:ind w:left="928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r w:rsidR="00D06D2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(koja je rodna dimenzija te opcije; kako pr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 status žena i odnose među ženama i muškarc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A1DC0" w:rsidRPr="006631F8" w:rsidRDefault="003A1DC0" w:rsidP="006631F8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  <w:lang w:val="sr-Latn-ME" w:eastAsia="en-US"/>
              </w:rPr>
            </w:pPr>
          </w:p>
          <w:p w:rsidR="00210F65" w:rsidRPr="0046089C" w:rsidRDefault="00210F65" w:rsidP="003A1DC0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Propis je neophodan kako bi se </w:t>
            </w:r>
            <w:r w:rsidR="002E1074"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pristupilo zaključivanju </w:t>
            </w:r>
            <w:r w:rsidR="00B06B3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gore navedenog ugovora</w:t>
            </w:r>
            <w:r w:rsidR="002E1074"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o prosljeđivanju sredstava.</w:t>
            </w:r>
          </w:p>
          <w:p w:rsidR="00FB6BD5" w:rsidRPr="001C078C" w:rsidRDefault="00210F65" w:rsidP="008322D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46089C">
              <w:rPr>
                <w:rFonts w:ascii="Arial" w:hAnsi="Arial" w:cs="Arial"/>
                <w:b w:val="0"/>
                <w:iCs/>
                <w:sz w:val="20"/>
                <w:szCs w:val="20"/>
              </w:rPr>
              <w:t>Kao što je već naveden</w:t>
            </w:r>
            <w:r w:rsidR="001C078C">
              <w:rPr>
                <w:rFonts w:ascii="Arial" w:hAnsi="Arial" w:cs="Arial"/>
                <w:b w:val="0"/>
                <w:iCs/>
                <w:sz w:val="20"/>
                <w:szCs w:val="20"/>
              </w:rPr>
              <w:t>o</w:t>
            </w:r>
            <w:r w:rsidRPr="0046089C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, </w:t>
            </w:r>
            <w:r w:rsidR="002E1074" w:rsidRPr="0046089C">
              <w:rPr>
                <w:rFonts w:ascii="Arial" w:hAnsi="Arial" w:cs="Arial"/>
                <w:b w:val="0"/>
                <w:iCs/>
                <w:sz w:val="20"/>
                <w:szCs w:val="20"/>
              </w:rPr>
              <w:t>ovaj propis nema rodnu dimenziju.</w:t>
            </w:r>
          </w:p>
        </w:tc>
      </w:tr>
      <w:tr w:rsidR="00282840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:rsidR="003A1DC0" w:rsidRPr="0046089C" w:rsidRDefault="003A1DC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8E4862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rješenja u propisu imaju uticaj na žene (pozitivne i negativne, 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 i</w:t>
            </w:r>
            <w:r w:rsidR="00C450DD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indirektne?)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8E4862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uštede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će primjena propisa </w:t>
            </w:r>
            <w:r w:rsidR="00067FC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46089C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45B3E" w:rsidRPr="0046089C" w:rsidRDefault="00845B3E" w:rsidP="00624831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lastRenderedPageBreak/>
              <w:t xml:space="preserve">Ovaj propis će pozitivno uticati na </w:t>
            </w:r>
            <w:r w:rsidR="002E1074"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zaštitu životne sredine i bolje uslove za život građana koji žive u dijelu opštine gdje će se graditi kanalizaciona mreža.</w:t>
            </w:r>
          </w:p>
          <w:p w:rsidR="002E1074" w:rsidRPr="0046089C" w:rsidRDefault="003715AE" w:rsidP="00624831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Građanima će </w:t>
            </w:r>
            <w:r w:rsidR="00236B2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se </w:t>
            </w: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stvoriti trošak </w:t>
            </w:r>
            <w:r w:rsidR="00236B2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 osnovu</w:t>
            </w:r>
            <w:r w:rsidR="00B06B3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otplate kr</w:t>
            </w:r>
            <w:r w:rsidR="001C680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edita po osnovu gore navedenog ugovora koji t</w:t>
            </w:r>
            <w:r w:rsidR="00B06B3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reba da bude zaključen</w:t>
            </w: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</w:p>
          <w:p w:rsidR="003715AE" w:rsidRPr="0046089C" w:rsidRDefault="003715AE" w:rsidP="00624831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Pozitivne posljedice izgradnje kanalizacione mreže u potpunosti</w:t>
            </w:r>
            <w:r w:rsidR="001C680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opravdavaju troškove koje će ovaj propis</w:t>
            </w: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stvoriti. </w:t>
            </w:r>
          </w:p>
          <w:p w:rsidR="001C078C" w:rsidRPr="003A1DC0" w:rsidRDefault="003715AE" w:rsidP="003A1D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36B2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Ovim propisom se stvaraju uslovi za povećanje obima posla privrednom društvu koje se bavi vodosnabdjevanjem i odvođenjem otpadnih voda, čime se stvaraju uslovi za nova zapošljavanja.</w:t>
            </w:r>
            <w:r w:rsidR="00236B2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</w:p>
        </w:tc>
      </w:tr>
      <w:tr w:rsidR="00702CFF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1C078C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:rsidR="003A1DC0" w:rsidRPr="0046089C" w:rsidRDefault="003A1DC0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8E4862" w:rsidRPr="0046089C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propis utiče na visinu prihoda ili troškova lokalne samouprave?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budžetu Crne Gore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:rsidR="00A07773" w:rsidRPr="0046089C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prihod za </w:t>
            </w:r>
            <w:r w:rsidR="00C111D8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lokalne samouprave odnosno za 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:rsidR="00C450DD" w:rsidRPr="0046089C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 je potencijalni korisnik budžeta za implementaciju propisa (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kojem procentu bi korisnici mogli biti muškarci, a u kojem žene? </w:t>
            </w:r>
            <w:r w:rsidR="00235BF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implementacija budžeta može biti uzrok neravnopravnosti između muškar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A07773" w:rsidRPr="0046089C" w:rsidRDefault="00A07773" w:rsidP="001C078C">
            <w:pPr>
              <w:pStyle w:val="ListParagraph"/>
              <w:ind w:left="928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A1DC0" w:rsidRPr="003A1DC0" w:rsidRDefault="003A1DC0" w:rsidP="003A1DC0">
            <w:pPr>
              <w:pStyle w:val="ListParagraph"/>
              <w:spacing w:before="60" w:after="120" w:line="276" w:lineRule="auto"/>
              <w:ind w:left="928"/>
              <w:rPr>
                <w:rFonts w:ascii="Arial" w:hAnsi="Arial" w:cs="Arial"/>
                <w:sz w:val="20"/>
                <w:szCs w:val="20"/>
                <w:lang w:val="sr-Latn-ME" w:eastAsia="en-US"/>
              </w:rPr>
            </w:pPr>
          </w:p>
          <w:p w:rsidR="003715AE" w:rsidRPr="004F2BDD" w:rsidRDefault="004F2BDD" w:rsidP="003A1DC0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Sredst</w:t>
            </w:r>
            <w:r w:rsidR="001C59B8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va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koja je potrebno obezbijediti u budžetu odnose se na vraćanje kredita u skladu sa anuitetima plana otplate – (glavnica 3. 000. 000,00eura</w:t>
            </w:r>
            <w:r w:rsidR="001C078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plus pripadajuća kamata).</w:t>
            </w:r>
          </w:p>
          <w:p w:rsidR="004F2BDD" w:rsidRDefault="004F2BDD" w:rsidP="00086E97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F2BDD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Sredstva se obezbjeđuju dugoročno.</w:t>
            </w:r>
          </w:p>
          <w:p w:rsidR="004F2BDD" w:rsidRDefault="004F2BDD" w:rsidP="00086E97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U budžetu će sredstva biti planirana za ovu i naredne </w:t>
            </w:r>
            <w:r w:rsidR="001C078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dvije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godine.</w:t>
            </w:r>
          </w:p>
          <w:p w:rsidR="004F2BDD" w:rsidRDefault="001C078C" w:rsidP="00086E97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 lokalnu samoupravu ovaj propis predstavlja trošak ali istovremeno ulaganje u infrastrukturu koja će se isplatiti na višegodišnjem nivou</w:t>
            </w:r>
            <w:r w:rsidR="004F2BDD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</w:p>
          <w:p w:rsidR="00702CFF" w:rsidRPr="001C59B8" w:rsidRDefault="004F2BDD" w:rsidP="004F2BDD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1C59B8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Implementacija ovog propisa ne može dovesti u pitanje neravnopravnost između muškaraca i žena.</w:t>
            </w:r>
          </w:p>
        </w:tc>
      </w:tr>
      <w:tr w:rsidR="00282840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1C078C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46089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3A1DC0" w:rsidRPr="00F869BE" w:rsidRDefault="003A1DC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A07773" w:rsidRPr="0046089C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46089C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450DD" w:rsidRPr="0046089C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="001C078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ranjiv</w:t>
            </w:r>
            <w:r w:rsidR="00B7089B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ih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</w:t>
            </w:r>
            <w:r w:rsidR="00B7089B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:rsidR="00A07773" w:rsidRPr="0046089C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r w:rsidR="00D4308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46089C" w:rsidRDefault="009E670A" w:rsidP="009E67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Pripremi ove odluke su prethodile konsultacije sa </w:t>
            </w:r>
            <w:r w:rsidR="0058108D" w:rsidRPr="0046089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Ministarstva finansija, Ministarstva </w:t>
            </w:r>
            <w:r w:rsidR="006631F8" w:rsidRPr="006631F8">
              <w:rPr>
                <w:rFonts w:ascii="Arial" w:eastAsiaTheme="minorHAnsi" w:hAnsi="Arial" w:cs="Arial"/>
                <w:b w:val="0"/>
                <w:sz w:val="20"/>
                <w:szCs w:val="20"/>
              </w:rPr>
              <w:t>ekologije, održivog razvoja i razvoja sjevera</w:t>
            </w:r>
            <w:r w:rsidR="006631F8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 xml:space="preserve"> </w:t>
            </w:r>
            <w:r w:rsidR="0058108D" w:rsidRPr="0046089C">
              <w:rPr>
                <w:rFonts w:ascii="Arial" w:hAnsi="Arial" w:cs="Arial"/>
                <w:b w:val="0"/>
                <w:noProof/>
                <w:sz w:val="20"/>
                <w:szCs w:val="20"/>
                <w:lang w:val="sr-Latn-ME" w:eastAsia="en-US"/>
              </w:rPr>
              <w:t>i DOO "Project-Consulting" - Podgorica (PROCON). </w:t>
            </w:r>
          </w:p>
          <w:p w:rsidR="009E670A" w:rsidRPr="0046089C" w:rsidRDefault="009E670A" w:rsidP="009E67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Konsultacije su bile dogovarane, sve u cilju stvaranja uslova za realizaciju izgradnje II faze kanalizacione mreže.</w:t>
            </w:r>
          </w:p>
          <w:p w:rsidR="009E670A" w:rsidRPr="0046089C" w:rsidRDefault="009E670A" w:rsidP="00236B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lastRenderedPageBreak/>
              <w:t>Nakon konsultacija je preostalo samo da se donese predmetna odluka</w:t>
            </w:r>
            <w:r w:rsidR="00236B2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, k</w:t>
            </w: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ako bi se pristupilo zaključivanju ugovora o prosljeđivanju sredstava.</w:t>
            </w:r>
          </w:p>
        </w:tc>
      </w:tr>
      <w:tr w:rsidR="00282840" w:rsidRPr="0046089C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7</w:t>
            </w:r>
            <w:r w:rsidR="00282840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:rsidR="003A1DC0" w:rsidRPr="0046089C" w:rsidRDefault="003A1DC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00426F" w:rsidRPr="0046089C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46089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46089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46089C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00096A" w:rsidRPr="0046089C" w:rsidRDefault="0000096A" w:rsidP="00CE5E97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 implementeciju  ovog propisa se ne očekuju prepreke. </w:t>
            </w:r>
          </w:p>
          <w:p w:rsidR="0000096A" w:rsidRPr="0046089C" w:rsidRDefault="0000096A" w:rsidP="0000096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Ispunjenost ciljeva će se mjeriti </w:t>
            </w:r>
            <w:r w:rsidR="0046089C"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kroz realizaciju projekta.</w:t>
            </w:r>
            <w:r w:rsidRPr="0046089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</w:p>
          <w:p w:rsidR="00FB6BD5" w:rsidRPr="0046089C" w:rsidRDefault="00FB6BD5" w:rsidP="0046089C">
            <w:pPr>
              <w:pStyle w:val="ListParagraph"/>
              <w:autoSpaceDE w:val="0"/>
              <w:autoSpaceDN w:val="0"/>
              <w:adjustRightInd w:val="0"/>
              <w:spacing w:before="60" w:after="120" w:line="276" w:lineRule="auto"/>
              <w:ind w:left="928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BA7396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3A1DC0" w:rsidRDefault="003A1DC0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3A1DC0" w:rsidRDefault="003A1DC0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B06B34" w:rsidRDefault="00B06B34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3A1DC0" w:rsidRPr="0046089C" w:rsidRDefault="003A1DC0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972845" w:rsidRPr="0046089C" w:rsidRDefault="00BD4282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>Datum i mjesto</w:t>
      </w:r>
      <w:r w:rsidR="00972845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3A1DC0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                   </w:t>
      </w:r>
      <w:r w:rsidR="00981466" w:rsidRPr="0046089C">
        <w:rPr>
          <w:rFonts w:ascii="Arial" w:hAnsi="Arial" w:cs="Arial"/>
          <w:b/>
          <w:color w:val="365F91" w:themeColor="accent1" w:themeShade="BF"/>
          <w:sz w:val="20"/>
          <w:szCs w:val="20"/>
        </w:rPr>
        <w:t>PREDSJEDNIK OPŠTINE</w:t>
      </w:r>
    </w:p>
    <w:p w:rsidR="001C078C" w:rsidRDefault="001C078C" w:rsidP="001C078C">
      <w:pPr>
        <w:tabs>
          <w:tab w:val="left" w:pos="5145"/>
        </w:tabs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1C078C" w:rsidRPr="0046089C" w:rsidRDefault="001C078C" w:rsidP="00F869BE">
      <w:pPr>
        <w:tabs>
          <w:tab w:val="left" w:pos="5145"/>
        </w:tabs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z w:val="20"/>
          <w:szCs w:val="20"/>
        </w:rPr>
        <w:t xml:space="preserve">                                                     </w:t>
      </w:r>
      <w:r w:rsidR="003A1DC0">
        <w:rPr>
          <w:rFonts w:ascii="Arial" w:hAnsi="Arial" w:cs="Arial"/>
          <w:color w:val="365F91" w:themeColor="accent1" w:themeShade="BF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color w:val="365F91" w:themeColor="accent1" w:themeShade="BF"/>
          <w:sz w:val="20"/>
          <w:szCs w:val="20"/>
        </w:rPr>
        <w:t xml:space="preserve">     Marko Kovačević</w:t>
      </w:r>
    </w:p>
    <w:p w:rsidR="00F869BE" w:rsidRPr="00F869BE" w:rsidRDefault="0000096A">
      <w:pPr>
        <w:rPr>
          <w:rFonts w:ascii="Arial" w:hAnsi="Arial" w:cs="Arial"/>
          <w:color w:val="1F497D" w:themeColor="text2"/>
          <w:sz w:val="20"/>
          <w:szCs w:val="20"/>
        </w:rPr>
      </w:pPr>
      <w:r w:rsidRPr="0046089C">
        <w:rPr>
          <w:rFonts w:ascii="Arial" w:hAnsi="Arial" w:cs="Arial"/>
          <w:color w:val="365F91" w:themeColor="accent1" w:themeShade="BF"/>
          <w:sz w:val="20"/>
          <w:szCs w:val="20"/>
        </w:rPr>
        <w:t xml:space="preserve">Nikšić, </w:t>
      </w:r>
      <w:r w:rsidR="003A1DC0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="004F16A5">
        <w:rPr>
          <w:rFonts w:ascii="Arial" w:hAnsi="Arial" w:cs="Arial"/>
          <w:color w:val="365F91" w:themeColor="accent1" w:themeShade="BF"/>
          <w:sz w:val="20"/>
          <w:szCs w:val="20"/>
        </w:rPr>
        <w:t>12</w:t>
      </w:r>
      <w:r w:rsidR="00B06B34">
        <w:rPr>
          <w:rFonts w:ascii="Arial" w:hAnsi="Arial" w:cs="Arial"/>
          <w:color w:val="365F91" w:themeColor="accent1" w:themeShade="BF"/>
          <w:sz w:val="20"/>
          <w:szCs w:val="20"/>
        </w:rPr>
        <w:t>.</w:t>
      </w:r>
      <w:r w:rsidR="003A1DC0">
        <w:rPr>
          <w:rFonts w:ascii="Arial" w:hAnsi="Arial" w:cs="Arial"/>
          <w:color w:val="365F91" w:themeColor="accent1" w:themeShade="BF"/>
          <w:sz w:val="20"/>
          <w:szCs w:val="20"/>
        </w:rPr>
        <w:t>06</w:t>
      </w:r>
      <w:r w:rsidR="00B06B34">
        <w:rPr>
          <w:rFonts w:ascii="Arial" w:hAnsi="Arial" w:cs="Arial"/>
          <w:color w:val="365F91" w:themeColor="accent1" w:themeShade="BF"/>
          <w:sz w:val="20"/>
          <w:szCs w:val="20"/>
        </w:rPr>
        <w:t>.</w:t>
      </w:r>
      <w:r w:rsidR="001C078C">
        <w:rPr>
          <w:rFonts w:ascii="Arial" w:hAnsi="Arial" w:cs="Arial"/>
          <w:color w:val="365F91" w:themeColor="accent1" w:themeShade="BF"/>
          <w:sz w:val="20"/>
          <w:szCs w:val="20"/>
        </w:rPr>
        <w:t>2026</w:t>
      </w:r>
      <w:r w:rsidRPr="0046089C">
        <w:rPr>
          <w:rFonts w:ascii="Arial" w:hAnsi="Arial" w:cs="Arial"/>
          <w:color w:val="365F91" w:themeColor="accent1" w:themeShade="BF"/>
          <w:sz w:val="20"/>
          <w:szCs w:val="20"/>
        </w:rPr>
        <w:t>. godine</w:t>
      </w:r>
      <w:r w:rsidR="00972845" w:rsidRPr="0046089C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46089C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3A1DC0">
        <w:rPr>
          <w:rFonts w:ascii="Arial" w:hAnsi="Arial" w:cs="Arial"/>
          <w:color w:val="365F91" w:themeColor="accent1" w:themeShade="BF"/>
          <w:sz w:val="20"/>
          <w:szCs w:val="20"/>
        </w:rPr>
        <w:t xml:space="preserve">                            </w:t>
      </w:r>
      <w:r w:rsidR="00972845" w:rsidRPr="0046089C">
        <w:rPr>
          <w:rFonts w:ascii="Arial" w:hAnsi="Arial" w:cs="Arial"/>
          <w:color w:val="365F91" w:themeColor="accent1" w:themeShade="BF"/>
          <w:sz w:val="20"/>
          <w:szCs w:val="20"/>
        </w:rPr>
        <w:t>_________________________</w:t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  <w:r w:rsidR="00972845" w:rsidRPr="0046089C">
        <w:rPr>
          <w:rFonts w:ascii="Arial" w:hAnsi="Arial" w:cs="Arial"/>
          <w:color w:val="1F497D" w:themeColor="text2"/>
          <w:sz w:val="20"/>
          <w:szCs w:val="20"/>
        </w:rPr>
        <w:tab/>
      </w:r>
    </w:p>
    <w:sectPr w:rsidR="00F869BE" w:rsidRPr="00F869BE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6F" w:rsidRDefault="00DA2C6F" w:rsidP="00BA7396">
      <w:r>
        <w:separator/>
      </w:r>
    </w:p>
  </w:endnote>
  <w:endnote w:type="continuationSeparator" w:id="0">
    <w:p w:rsidR="00DA2C6F" w:rsidRDefault="00DA2C6F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6F" w:rsidRDefault="00DA2C6F" w:rsidP="00BA7396">
      <w:r>
        <w:separator/>
      </w:r>
    </w:p>
  </w:footnote>
  <w:footnote w:type="continuationSeparator" w:id="0">
    <w:p w:rsidR="00DA2C6F" w:rsidRDefault="00DA2C6F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96A"/>
    <w:rsid w:val="0000426F"/>
    <w:rsid w:val="000114B5"/>
    <w:rsid w:val="000263C6"/>
    <w:rsid w:val="000511F0"/>
    <w:rsid w:val="000629D8"/>
    <w:rsid w:val="00067FCF"/>
    <w:rsid w:val="000716AC"/>
    <w:rsid w:val="00075306"/>
    <w:rsid w:val="00076382"/>
    <w:rsid w:val="000E5392"/>
    <w:rsid w:val="000E7E95"/>
    <w:rsid w:val="0013623B"/>
    <w:rsid w:val="00136E1D"/>
    <w:rsid w:val="00154647"/>
    <w:rsid w:val="00162BB1"/>
    <w:rsid w:val="001849DA"/>
    <w:rsid w:val="001C078C"/>
    <w:rsid w:val="001C59B8"/>
    <w:rsid w:val="001C680B"/>
    <w:rsid w:val="001C7348"/>
    <w:rsid w:val="001D0BF0"/>
    <w:rsid w:val="001E1794"/>
    <w:rsid w:val="001E4236"/>
    <w:rsid w:val="001F312D"/>
    <w:rsid w:val="0020360B"/>
    <w:rsid w:val="002072BA"/>
    <w:rsid w:val="00210F65"/>
    <w:rsid w:val="00235BF5"/>
    <w:rsid w:val="00236B2E"/>
    <w:rsid w:val="00245E97"/>
    <w:rsid w:val="00267C7D"/>
    <w:rsid w:val="00282840"/>
    <w:rsid w:val="00284A91"/>
    <w:rsid w:val="00294662"/>
    <w:rsid w:val="00295023"/>
    <w:rsid w:val="002A6869"/>
    <w:rsid w:val="002E1074"/>
    <w:rsid w:val="002E7569"/>
    <w:rsid w:val="00310915"/>
    <w:rsid w:val="00322389"/>
    <w:rsid w:val="00357476"/>
    <w:rsid w:val="003715AE"/>
    <w:rsid w:val="00392F99"/>
    <w:rsid w:val="00395587"/>
    <w:rsid w:val="003A1DC0"/>
    <w:rsid w:val="003F334E"/>
    <w:rsid w:val="004249E5"/>
    <w:rsid w:val="0046089C"/>
    <w:rsid w:val="0047459A"/>
    <w:rsid w:val="004A4396"/>
    <w:rsid w:val="004B549B"/>
    <w:rsid w:val="004E1351"/>
    <w:rsid w:val="004F16A5"/>
    <w:rsid w:val="004F2BDD"/>
    <w:rsid w:val="004F4F9C"/>
    <w:rsid w:val="00504237"/>
    <w:rsid w:val="005109BD"/>
    <w:rsid w:val="00546837"/>
    <w:rsid w:val="0054756C"/>
    <w:rsid w:val="005805F3"/>
    <w:rsid w:val="0058108D"/>
    <w:rsid w:val="005C4266"/>
    <w:rsid w:val="005F00B7"/>
    <w:rsid w:val="005F03ED"/>
    <w:rsid w:val="005F6D49"/>
    <w:rsid w:val="00601210"/>
    <w:rsid w:val="006129CD"/>
    <w:rsid w:val="00635805"/>
    <w:rsid w:val="006631F8"/>
    <w:rsid w:val="006710AA"/>
    <w:rsid w:val="00673F68"/>
    <w:rsid w:val="00681DE1"/>
    <w:rsid w:val="006A1B2C"/>
    <w:rsid w:val="006A3B25"/>
    <w:rsid w:val="006A3B76"/>
    <w:rsid w:val="006B4020"/>
    <w:rsid w:val="006C4F93"/>
    <w:rsid w:val="006E4E97"/>
    <w:rsid w:val="006F1605"/>
    <w:rsid w:val="006F343C"/>
    <w:rsid w:val="00702CFF"/>
    <w:rsid w:val="007043B6"/>
    <w:rsid w:val="00704B50"/>
    <w:rsid w:val="00705E35"/>
    <w:rsid w:val="00721DB9"/>
    <w:rsid w:val="00727F41"/>
    <w:rsid w:val="00733149"/>
    <w:rsid w:val="00736E8D"/>
    <w:rsid w:val="00741A35"/>
    <w:rsid w:val="007510CC"/>
    <w:rsid w:val="00783BED"/>
    <w:rsid w:val="007A1C7D"/>
    <w:rsid w:val="007B7FE3"/>
    <w:rsid w:val="007C12EB"/>
    <w:rsid w:val="007D05DC"/>
    <w:rsid w:val="008169A7"/>
    <w:rsid w:val="008301C9"/>
    <w:rsid w:val="008322D4"/>
    <w:rsid w:val="00833765"/>
    <w:rsid w:val="00845B3E"/>
    <w:rsid w:val="0085327D"/>
    <w:rsid w:val="00871235"/>
    <w:rsid w:val="008A2781"/>
    <w:rsid w:val="008B09E9"/>
    <w:rsid w:val="008C0535"/>
    <w:rsid w:val="008E4862"/>
    <w:rsid w:val="008E6C79"/>
    <w:rsid w:val="0090315F"/>
    <w:rsid w:val="009535C3"/>
    <w:rsid w:val="00960A46"/>
    <w:rsid w:val="00972845"/>
    <w:rsid w:val="00981466"/>
    <w:rsid w:val="00983BC0"/>
    <w:rsid w:val="00984E95"/>
    <w:rsid w:val="009874EB"/>
    <w:rsid w:val="009D7B9F"/>
    <w:rsid w:val="009E670A"/>
    <w:rsid w:val="00A06593"/>
    <w:rsid w:val="00A07773"/>
    <w:rsid w:val="00A10DA5"/>
    <w:rsid w:val="00A265F9"/>
    <w:rsid w:val="00A71595"/>
    <w:rsid w:val="00A85C6E"/>
    <w:rsid w:val="00AA117E"/>
    <w:rsid w:val="00AC6578"/>
    <w:rsid w:val="00AD100C"/>
    <w:rsid w:val="00B06B34"/>
    <w:rsid w:val="00B2646E"/>
    <w:rsid w:val="00B40AA1"/>
    <w:rsid w:val="00B455D8"/>
    <w:rsid w:val="00B46BDC"/>
    <w:rsid w:val="00B535B4"/>
    <w:rsid w:val="00B7089B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7CB"/>
    <w:rsid w:val="00C75DF0"/>
    <w:rsid w:val="00C773E3"/>
    <w:rsid w:val="00C87DA2"/>
    <w:rsid w:val="00D06D2A"/>
    <w:rsid w:val="00D25692"/>
    <w:rsid w:val="00D27C82"/>
    <w:rsid w:val="00D4308A"/>
    <w:rsid w:val="00D87CB1"/>
    <w:rsid w:val="00DA2C6F"/>
    <w:rsid w:val="00DB6323"/>
    <w:rsid w:val="00DF14F0"/>
    <w:rsid w:val="00DF67D8"/>
    <w:rsid w:val="00E071E9"/>
    <w:rsid w:val="00E3478E"/>
    <w:rsid w:val="00E61671"/>
    <w:rsid w:val="00E721E9"/>
    <w:rsid w:val="00E76D3C"/>
    <w:rsid w:val="00ED0AF4"/>
    <w:rsid w:val="00ED0F74"/>
    <w:rsid w:val="00ED4766"/>
    <w:rsid w:val="00ED67D7"/>
    <w:rsid w:val="00F20105"/>
    <w:rsid w:val="00F72683"/>
    <w:rsid w:val="00F734CF"/>
    <w:rsid w:val="00F7433F"/>
    <w:rsid w:val="00F74636"/>
    <w:rsid w:val="00F829CD"/>
    <w:rsid w:val="00F869BE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5641B-9928-48E9-B444-C141117C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5109BD"/>
    <w:pPr>
      <w:spacing w:after="200"/>
    </w:pPr>
    <w:rPr>
      <w:i/>
      <w:iCs/>
      <w:color w:val="1F497D" w:themeColor="text2"/>
      <w:sz w:val="18"/>
      <w:szCs w:val="18"/>
    </w:rPr>
  </w:style>
  <w:style w:type="character" w:styleId="HTMLCode">
    <w:name w:val="HTML Code"/>
    <w:uiPriority w:val="99"/>
    <w:unhideWhenUsed/>
    <w:qFormat/>
    <w:rsid w:val="001C078C"/>
    <w:rPr>
      <w:rFonts w:ascii="Consolas" w:hAnsi="Consolas" w:cs="Consolas"/>
      <w:noProof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6299-FE32-44DE-8933-4C8F91C7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5</cp:revision>
  <cp:lastPrinted>2026-06-12T11:09:00Z</cp:lastPrinted>
  <dcterms:created xsi:type="dcterms:W3CDTF">2026-06-05T08:22:00Z</dcterms:created>
  <dcterms:modified xsi:type="dcterms:W3CDTF">2026-06-12T11:13:00Z</dcterms:modified>
</cp:coreProperties>
</file>