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1CCC5" w14:textId="77777777" w:rsidR="00A07773" w:rsidRPr="00322389" w:rsidRDefault="00A07773" w:rsidP="00A07773">
      <w:pPr>
        <w:autoSpaceDE w:val="0"/>
        <w:autoSpaceDN w:val="0"/>
        <w:adjustRightInd w:val="0"/>
        <w:jc w:val="right"/>
        <w:rPr>
          <w:rFonts w:ascii="Arial" w:hAnsi="Arial" w:cs="Arial"/>
          <w:b/>
          <w:color w:val="365F91" w:themeColor="accent1" w:themeShade="BF"/>
          <w:sz w:val="20"/>
          <w:szCs w:val="20"/>
        </w:rPr>
      </w:pPr>
      <w:r w:rsidRPr="00322389">
        <w:rPr>
          <w:rFonts w:ascii="Arial" w:hAnsi="Arial" w:cs="Arial"/>
          <w:b/>
          <w:color w:val="365F91" w:themeColor="accent1" w:themeShade="BF"/>
          <w:szCs w:val="24"/>
        </w:rPr>
        <w:t>OBRAZAC</w:t>
      </w:r>
    </w:p>
    <w:p w14:paraId="5E59545E" w14:textId="77777777" w:rsidR="00067FCF" w:rsidRPr="00322389" w:rsidRDefault="00067FCF" w:rsidP="00BA7396">
      <w:pPr>
        <w:autoSpaceDE w:val="0"/>
        <w:autoSpaceDN w:val="0"/>
        <w:adjustRightInd w:val="0"/>
        <w:rPr>
          <w:rFonts w:ascii="Arial" w:hAnsi="Arial" w:cs="Arial"/>
          <w:b/>
          <w:color w:val="365F91" w:themeColor="accent1" w:themeShade="BF"/>
          <w:sz w:val="20"/>
          <w:szCs w:val="20"/>
        </w:rPr>
      </w:pPr>
    </w:p>
    <w:p w14:paraId="240679D5" w14:textId="77777777" w:rsidR="00067FCF" w:rsidRPr="00322389" w:rsidRDefault="00067FCF" w:rsidP="00BA7396">
      <w:pPr>
        <w:autoSpaceDE w:val="0"/>
        <w:autoSpaceDN w:val="0"/>
        <w:adjustRightInd w:val="0"/>
        <w:rPr>
          <w:rFonts w:ascii="Arial" w:hAnsi="Arial" w:cs="Arial"/>
          <w:b/>
          <w:color w:val="365F91" w:themeColor="accent1" w:themeShade="BF"/>
          <w:sz w:val="20"/>
          <w:szCs w:val="20"/>
        </w:rPr>
      </w:pPr>
    </w:p>
    <w:tbl>
      <w:tblPr>
        <w:tblStyle w:val="LightGrid-Accent5"/>
        <w:tblW w:w="0" w:type="auto"/>
        <w:tblLook w:val="04A0" w:firstRow="1" w:lastRow="0" w:firstColumn="1" w:lastColumn="0" w:noHBand="0" w:noVBand="1"/>
      </w:tblPr>
      <w:tblGrid>
        <w:gridCol w:w="3893"/>
        <w:gridCol w:w="5447"/>
      </w:tblGrid>
      <w:tr w:rsidR="00C72668" w:rsidRPr="00322389" w14:paraId="76BEAAFD" w14:textId="77777777" w:rsidTr="00051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277CB87F" w14:textId="77777777" w:rsidR="00C72668" w:rsidRPr="00322389" w:rsidRDefault="00067FCF" w:rsidP="00C75DF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8"/>
                <w:szCs w:val="20"/>
              </w:rPr>
            </w:pPr>
            <w:r w:rsidRPr="00322389">
              <w:rPr>
                <w:rFonts w:ascii="Arial" w:hAnsi="Arial" w:cs="Arial"/>
                <w:color w:val="365F91" w:themeColor="accent1" w:themeShade="BF"/>
                <w:szCs w:val="24"/>
              </w:rPr>
              <w:t>IZVJEŠTAJ</w:t>
            </w:r>
            <w:r w:rsidR="005F6D49" w:rsidRPr="00322389">
              <w:rPr>
                <w:rFonts w:ascii="Arial" w:hAnsi="Arial" w:cs="Arial"/>
                <w:color w:val="365F91" w:themeColor="accent1" w:themeShade="BF"/>
                <w:szCs w:val="24"/>
              </w:rPr>
              <w:t xml:space="preserve"> O ANALIZI UTICAJA PROPISA</w:t>
            </w:r>
            <w:r w:rsidR="00C111D8" w:rsidRPr="00322389">
              <w:rPr>
                <w:rFonts w:ascii="Arial" w:hAnsi="Arial" w:cs="Arial"/>
                <w:color w:val="365F91" w:themeColor="accent1" w:themeShade="BF"/>
                <w:szCs w:val="24"/>
              </w:rPr>
              <w:t xml:space="preserve"> ZA LOKALNE SAMOUPRAVE</w:t>
            </w:r>
          </w:p>
        </w:tc>
      </w:tr>
      <w:tr w:rsidR="004B549B" w:rsidRPr="002D22DA" w14:paraId="16A744AD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14:paraId="0BB2975C" w14:textId="77777777" w:rsidR="008322D4" w:rsidRPr="002D22DA" w:rsidRDefault="008322D4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PREDLAGA</w:t>
            </w:r>
            <w:r w:rsidR="005F6D49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Č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PROPISA</w:t>
            </w:r>
          </w:p>
        </w:tc>
        <w:tc>
          <w:tcPr>
            <w:tcW w:w="5598" w:type="dxa"/>
          </w:tcPr>
          <w:p w14:paraId="5D656A2E" w14:textId="3757266A" w:rsidR="00D03FD0" w:rsidRPr="002D22DA" w:rsidRDefault="002D22DA">
            <w:pPr>
              <w:spacing w:after="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Predsjednik Opštine</w:t>
            </w:r>
          </w:p>
        </w:tc>
      </w:tr>
      <w:tr w:rsidR="004B549B" w:rsidRPr="002D22DA" w14:paraId="777BE181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14:paraId="2A024BC9" w14:textId="77777777" w:rsidR="008322D4" w:rsidRPr="002D22DA" w:rsidRDefault="008322D4" w:rsidP="00067F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NA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ZIV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PROPISA</w:t>
            </w:r>
          </w:p>
        </w:tc>
        <w:tc>
          <w:tcPr>
            <w:tcW w:w="5598" w:type="dxa"/>
          </w:tcPr>
          <w:p w14:paraId="35221491" w14:textId="77777777" w:rsidR="00D03FD0" w:rsidRPr="002D22DA" w:rsidRDefault="00476B16">
            <w:pPr>
              <w:spacing w:after="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Odluka o osnivanju Fondacije „Nikšić 2030 – Evropska prestonica kulture“</w:t>
            </w:r>
          </w:p>
        </w:tc>
      </w:tr>
      <w:tr w:rsidR="008322D4" w:rsidRPr="002D22DA" w14:paraId="2B466174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687021B" w14:textId="77777777" w:rsidR="008322D4" w:rsidRPr="002D22DA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1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Definisanje problema</w:t>
            </w:r>
          </w:p>
          <w:p w14:paraId="6468A38B" w14:textId="77777777" w:rsidR="008E4862" w:rsidRPr="002D22DA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Da li je propis posljedica zaht</w:t>
            </w:r>
            <w:r w:rsidR="00741A3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j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eva (propisa) na državnom nivou?</w:t>
            </w:r>
          </w:p>
          <w:p w14:paraId="1D56EE41" w14:textId="77777777" w:rsidR="008E4862" w:rsidRPr="002D22DA" w:rsidRDefault="008E4862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Navesti zakonski</w:t>
            </w:r>
            <w:r w:rsidR="00380D3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, odnosno strateški ili drugi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osnov za donošenje propisa</w:t>
            </w:r>
            <w:r w:rsidR="00715DF7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2AFEF687" w14:textId="77777777" w:rsidR="008E4862" w:rsidRPr="002D22DA" w:rsidRDefault="008E4862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Da li </w:t>
            </w:r>
            <w:r w:rsidR="00380D3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se propisom utvrđuju</w:t>
            </w:r>
            <w:r w:rsidR="000644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="00380D3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sopstvene</w:t>
            </w:r>
            <w:r w:rsidR="000644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nadležnosti ili prenes</w:t>
            </w:r>
            <w:r w:rsidR="00C773E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e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</w:t>
            </w:r>
            <w:r w:rsidR="00380D3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, odnosno </w:t>
            </w:r>
            <w:r w:rsidR="00380D3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povjereni poslovi</w:t>
            </w:r>
            <w:r w:rsidR="002A410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lokalne samouprave?</w:t>
            </w:r>
          </w:p>
          <w:p w14:paraId="12445464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oje </w:t>
            </w:r>
            <w:r w:rsidR="005F03E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probleme  treba da r</w:t>
            </w:r>
            <w:r w:rsidR="006A1B2C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</w:t>
            </w:r>
            <w:r w:rsidR="005F03E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ješi predloženi akt?</w:t>
            </w:r>
          </w:p>
          <w:p w14:paraId="62662E68" w14:textId="77777777" w:rsidR="00BE11B9" w:rsidRPr="002D22DA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Da</w:t>
            </w:r>
            <w:r w:rsidR="00871836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li problem ima rodnu dimenziju? (ima posebni uticaj na žene)</w:t>
            </w:r>
          </w:p>
          <w:p w14:paraId="050F40D3" w14:textId="25699464" w:rsidR="00A07773" w:rsidRPr="002D22DA" w:rsidRDefault="00D06D2A" w:rsidP="0097284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oji</w:t>
            </w:r>
            <w:r w:rsid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su uzroci problema?</w:t>
            </w:r>
          </w:p>
          <w:p w14:paraId="3536877D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oje </w:t>
            </w:r>
            <w:r w:rsidR="005F03E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su posljedice problema?</w:t>
            </w:r>
          </w:p>
          <w:p w14:paraId="07F8A007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j</w:t>
            </w:r>
            <w:r w:rsidR="0097284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su subjekti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oštećen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, na koji način i 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u kojoj mjeri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681FE94F" w14:textId="77777777" w:rsidR="00C111D8" w:rsidRPr="002D22DA" w:rsidRDefault="00D06D2A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ako 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bi problem evoluirao bez promjene propisa (</w:t>
            </w:r>
            <w:r w:rsidR="005F03E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“status quo” </w:t>
            </w:r>
            <w:r w:rsidR="008322D4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opcija)?</w:t>
            </w:r>
          </w:p>
        </w:tc>
      </w:tr>
      <w:tr w:rsidR="008322D4" w:rsidRPr="002D22DA" w14:paraId="121FBA12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46156C3E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Predložena odluka nije neposredna posljedica zahtjeva da se na lokalnom nivou prenese ili sprovede konkretan propis sa državnog nivoa, već predstavlja akt kojim Opština Nikšić, u okviru sopstvenih nadležnosti, uspostavlja institucionalni okvir za realizaciju projekta „Nikšić 2030 – Evropska prestonica kulture“.</w:t>
            </w:r>
          </w:p>
          <w:p w14:paraId="3EE65CD7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Pravni osnov za donošenje Odluke sadržan je u čl. 3, 10 stav 3 i 11 Zakona o nevladinim organizacijama, članu 28 i članu 38 stav 1 tačka 2 Zakona o lokalnoj samoupravi, kao i članu 35 stav 1 tačka 2 i članu 38 stav 1 Statuta Opštine Nikšić.</w:t>
            </w:r>
          </w:p>
          <w:p w14:paraId="2684878A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Propisom se uređuje pitanje iz sopstvene nadležnosti lokalne samouprave, od značaja za lokalnu zajednicu, a ne preneseni odnosno povjereni poslovi.</w:t>
            </w:r>
          </w:p>
          <w:p w14:paraId="45506E08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Problem koji treba riješiti jeste potreba za uspostavljanjem posebnog, stabilnog i profesionalnog institucionalnog okvira za efikasnu pripremu, koordinaciju, upravljanje i realizaciju višegodišnjeg projekta Evropska prestonica kulture, kao i za obezbjeđivanje kontinuiteta, transparentnosti, međunarodne saradnje i održivosti rezultata projekta.</w:t>
            </w:r>
          </w:p>
          <w:p w14:paraId="399A0BE3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Uzrok problema je složenost i višegodišnji karakter projekta, potreba za koordinacijom velikog broja domaćih i međunarodnih partnera, kao i potreba za angažovanjem stručnog i interdisciplinarnog tima i upravljanjem programskim, finansijskim, produkcionim i komunikacionim aktivnostima.</w:t>
            </w:r>
          </w:p>
          <w:p w14:paraId="65C6DB47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Bez donošenja Odluke (status quo) ne bi bio uspostavljen poseban pravni subjekt odgovoran za implementaciju projekta, što bi otežalo koordinaciju partnera, zapošljavanje stručnog tima, upravljanje sredstvima i programima, međunarodno umrežavanje, kao i obezbjeđivanje kontinuiteta i dugoročnog nasljeđa projekta.</w:t>
            </w:r>
          </w:p>
          <w:p w14:paraId="18D72E81" w14:textId="5E6E78AC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Predložena odluka nema neposrednu rodnu dimenziju niti ima poseban negativan uticaj na žene. Ciljevi i djelatnosti Fondacije usmjereni su na građane i aktere kulturnog, društvenog i privrednog života bez razlikovanja po polu.</w:t>
            </w:r>
          </w:p>
        </w:tc>
      </w:tr>
      <w:tr w:rsidR="008322D4" w:rsidRPr="002D22DA" w14:paraId="4BE429E1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63208A6" w14:textId="77777777" w:rsidR="008322D4" w:rsidRPr="002D22DA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2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Ciljevi</w:t>
            </w:r>
          </w:p>
          <w:p w14:paraId="2882A66B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oji ciljevi se postižu predloženim propisom?</w:t>
            </w:r>
          </w:p>
          <w:p w14:paraId="37370FBE" w14:textId="77777777" w:rsidR="00BE11B9" w:rsidRPr="002D22DA" w:rsidRDefault="00BE11B9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Da</w:t>
            </w:r>
            <w:r w:rsidR="002A410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li bilo koji od ciljeva unapređuje rodnu ravnopravnost? </w:t>
            </w:r>
          </w:p>
          <w:p w14:paraId="5663C0B1" w14:textId="77777777" w:rsidR="00A07773" w:rsidRPr="002D22DA" w:rsidRDefault="00A07773" w:rsidP="00154647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63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</w:p>
        </w:tc>
      </w:tr>
      <w:tr w:rsidR="008322D4" w:rsidRPr="002D22DA" w14:paraId="32AE660F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0B2785F1" w14:textId="69F8CBCD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Osnovni cilj je osnivanje Fondacije „Nikšić 2030 – Evropska prestonica kulture“ kao samostalne, nezavisne i neprofitne organizacije koja će predstavljati centralnu operativnu platformu za implementaciju projekta i za sprovođenje postprojektnih aktivnosti.</w:t>
            </w:r>
          </w:p>
          <w:p w14:paraId="064A22EE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lastRenderedPageBreak/>
              <w:t>Posebni ciljevi su: efikasno planiranje, upravljanje i realizacija kulturnih i drugih projektnih aktivnosti; obezbjeđivanje kontinuiteta i profesionalnog upravljanja; razvoj i promocija kulturne scene i kreativnih industrija; uključivanje građana i mladih; jačanje kapaciteta institucija i organizacija; razvoj međunarodne, regionalne i prekogranične saradnje; promocija Nikšića i Crne Gore; zaštita i promocija kulturne i prirodne baštine; razvoj turizma i infrastrukture; i obezbjeđivanje održivosti rezultata projekta.</w:t>
            </w:r>
          </w:p>
          <w:p w14:paraId="652AB6A9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Odluka ne utvrđuje poseban cilj rodne ravnopravnosti, ali su ciljevi postavljeni inkluzivno i mogu doprinositi ravnopravnom učešću žena i muškaraca u kulturnim, obrazovnim, kreativnim i drugim programima Fondacije.</w:t>
            </w:r>
          </w:p>
        </w:tc>
      </w:tr>
      <w:tr w:rsidR="008322D4" w:rsidRPr="002D22DA" w14:paraId="0B520CC9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78E202B" w14:textId="77777777" w:rsidR="008322D4" w:rsidRPr="002D22DA" w:rsidRDefault="00282840" w:rsidP="002828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lastRenderedPageBreak/>
              <w:t>3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Opcije</w:t>
            </w:r>
          </w:p>
          <w:p w14:paraId="5274FFD7" w14:textId="77777777" w:rsidR="00A07773" w:rsidRPr="002D22DA" w:rsidRDefault="008169A7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Zašto je propis neophodan? - </w:t>
            </w:r>
            <w:r w:rsidR="00D06D2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oje su moguće opcije za ispunjavanje ciljeva i rješavanje problema? (uvijek treba razmatrati “status quo” opciju i preporučljivo je uključiti i neregulatornu opciju, osim ako postoji obaveza 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donošenja predloženog propisa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)</w:t>
            </w:r>
            <w:r w:rsidR="00D06D2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</w:p>
          <w:p w14:paraId="6D87BC5C" w14:textId="77777777" w:rsidR="00A07773" w:rsidRPr="002D22DA" w:rsidRDefault="00D06D2A" w:rsidP="002A410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brazložiti preferiranu opciju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  <w:r w:rsidR="00BE11B9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(</w:t>
            </w:r>
            <w:r w:rsidR="002A410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prilikom obrazlaganja opcije uključiti i rodnu dimenziju</w:t>
            </w:r>
            <w:r w:rsidR="00BE11B9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te opcije</w:t>
            </w:r>
            <w:r w:rsidR="002A410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: </w:t>
            </w:r>
            <w:r w:rsidR="00BE11B9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kako pr</w:t>
            </w:r>
            <w:r w:rsidR="00C450D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e</w:t>
            </w:r>
            <w:r w:rsidR="00BE11B9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ferirana opcija unapređuje rodnu ravnopravnost</w:t>
            </w:r>
            <w:r w:rsidR="002A410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-</w:t>
            </w:r>
            <w:r w:rsidR="00C450D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status žena i odnose među ženama i muškarc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ima</w:t>
            </w:r>
            <w:r w:rsidR="00C450DD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)</w:t>
            </w:r>
          </w:p>
        </w:tc>
      </w:tr>
      <w:tr w:rsidR="008322D4" w:rsidRPr="002D22DA" w14:paraId="5E3460FC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5C13C21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Razmatrane opcije su: 1) status quo – nastavak aktivnosti bez osnivanja posebnog pravnog lica; 2) neregulatorna/organizaciona opcija – koordinacija projekta kroz postojeće organe i službe Opštine i partnerske institucije; i 3) regulatorna opcija – donošenje Odluke i osnivanje posebne fondacije.</w:t>
            </w:r>
          </w:p>
          <w:p w14:paraId="412CB846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Status quo i neregulatorna opcija ne obezbjeđuju u dovoljnoj mjeri poseban, kontinuiran i profesionalan institucionalni okvir za složen višegodišnji projekat, niti optimalne uslove za upravljanje programima, sredstvima, partnerstvima, međunarodnom saradnjom i postprojektnim nasljeđem.</w:t>
            </w:r>
          </w:p>
          <w:p w14:paraId="6BA619B0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Preferirana je regulatorna opcija – osnivanje Fondacije – jer omogućava jasno definisanu odgovornost, organe upravljanja i zastupanja, mogućnost angažovanja stručnog tima, raznovrsne izvore finansiranja, transparentno finansijsko upravljanje i kontinuitet realizacije projekta. Ova opcija je rodno neutralno formulisana i ne uvodi različit tretman žena i muškaraca; ravnopravno učešće može se dodatno obezbjeđivati kroz buduće programe, konkurse i politike Fondacije.</w:t>
            </w:r>
          </w:p>
        </w:tc>
      </w:tr>
      <w:tr w:rsidR="00282840" w:rsidRPr="002D22DA" w14:paraId="01E4B24D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A797AB1" w14:textId="77777777" w:rsidR="00282840" w:rsidRPr="002D22DA" w:rsidRDefault="0028284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4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Analiza uticaja</w:t>
            </w:r>
          </w:p>
          <w:p w14:paraId="4164954B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a koga će i kako će najvjerovatnije uticati rješenja u propisu - 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abrojati pozitivne i negativne uticaje, direktne i indirektne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, kao i rodno-senzitivne uticaje propisa</w:t>
            </w:r>
            <w:r w:rsidR="008E486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4AC0328A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oje</w:t>
            </w:r>
            <w:r w:rsidR="000644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troškove </w:t>
            </w:r>
            <w:r w:rsidR="008E486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ili uštede</w:t>
            </w:r>
            <w:r w:rsidR="000644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će primjena propisa </w:t>
            </w:r>
            <w:r w:rsidR="00067FC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izazvati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građanima i privredi (naročito malim i srednjim preduzećima)</w:t>
            </w:r>
            <w:r w:rsidR="008E486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4A5FBF3C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 li pozitivne posljedice donošenja propisa opravdava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ju troškove koje će on stvoriti</w:t>
            </w:r>
            <w:r w:rsidR="008E486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5638383D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a li se propisom podržava stvaranje novih privrednih subjekata na tržištu i tržišna 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konkurencija</w:t>
            </w:r>
            <w:r w:rsidR="008E4862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45D25506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U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ključiti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procjenu administrativnih opterećenja i biznis barijera.</w:t>
            </w:r>
          </w:p>
          <w:p w14:paraId="3114B15B" w14:textId="77777777" w:rsidR="00D27C82" w:rsidRPr="002D22DA" w:rsidRDefault="00D27C82" w:rsidP="00D27C82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</w:p>
        </w:tc>
      </w:tr>
      <w:tr w:rsidR="00282840" w:rsidRPr="002D22DA" w14:paraId="6DAF5D4D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3D98D6F7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Rješenja će neposredno uticati na Opštinu Nikšić i novoosnovanu Fondaciju, a posredno na ustanove kulture, organizacije civilnog društva, umjetnike, kreativni sektor, obrazovne institucije, privredne subjekte, turistički sektor, mlade, građane i domaće i međunarodne partnere.</w:t>
            </w:r>
          </w:p>
          <w:p w14:paraId="2B7B94E8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Očekivani pozitivni uticaji su: profesionalizacija i bolja koordinacija projekta; jačanje kulturnog sektora i kreativnih industrija; razvoj međunarodnih partnerstava; veća vidljivost Nikšića; mogućnosti za razvoj kulturnih, obrazovnih i turističkih sadržaja; podsticanje građanskog učešća; i stvaranje dugoročnih razvojnih efekata.</w:t>
            </w:r>
          </w:p>
          <w:p w14:paraId="3F0C4439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Mogući negativni uticaji prvenstveno se odnose na potrebu obezbjeđivanja sredstava i administrativnih kapaciteta za rad Fondacije, kao i na rizike koordinacije većeg broja učesnika. Odluka sama po sebi ne uvodi nove obaveze, naknade ili administrativne troškove za građane i privredu.</w:t>
            </w:r>
          </w:p>
          <w:p w14:paraId="54A22489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 xml:space="preserve">Pozitivni efekti osnivanja Fondacije opravdavaju troškove njenog funkcionisanja, imajući u vidu obim, trajanje i međunarodni značaj projekta. Odluka ne uređuje neposredno osnivanje </w:t>
            </w:r>
            <w:r w:rsidRPr="002D22DA">
              <w:rPr>
                <w:rFonts w:ascii="Arial" w:eastAsia="Arial" w:hAnsi="Arial"/>
                <w:sz w:val="20"/>
                <w:lang w:val="sr-Latn-ME"/>
              </w:rPr>
              <w:lastRenderedPageBreak/>
              <w:t>privrednih subjekata niti tržišnu konkurenciju, ali aktivnosti Fondacije mogu indirektno podsticati kreativne industrije, turizam i lokalnu privredu.</w:t>
            </w:r>
          </w:p>
          <w:p w14:paraId="6B606FD6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Ne prepoznaju se neposredne biznis barijere niti nova administrativna opterećenja za privredu. Rodno-senzitivni uticaj je neutralan na nivou same Odluke, uz mogućnost pozitivnog uticaja kroz ravnopravnu dostupnost programa i aktivnosti ženama i muškarcima.</w:t>
            </w:r>
          </w:p>
        </w:tc>
      </w:tr>
      <w:tr w:rsidR="00702CFF" w:rsidRPr="002D22DA" w14:paraId="63890918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7B9B36D9" w14:textId="77777777" w:rsidR="00673F68" w:rsidRPr="002D22DA" w:rsidRDefault="00673F68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lastRenderedPageBreak/>
              <w:t>5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Procjena fiskalnog uticaja</w:t>
            </w:r>
          </w:p>
          <w:p w14:paraId="0C9427FC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 li je potrebno obezbjeđenje finansijskih sredstava</w:t>
            </w:r>
            <w:r w:rsidR="0097284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iz budžeta</w:t>
            </w:r>
            <w:r w:rsidR="00C111D8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lokalnih samouprava odnosno budžeta</w:t>
            </w:r>
            <w:r w:rsidR="0097284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Crne Gore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za impleme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ntaciju propisa i u kom iznosu?</w:t>
            </w:r>
          </w:p>
          <w:p w14:paraId="2ACE997B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a li je obezbjeđenje finansijskih sredstava jednokratno, ili tokom određenog vremenskog perioda? </w:t>
            </w:r>
            <w:r w:rsidR="00673F68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Obrazložiti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</w:p>
          <w:p w14:paraId="52E2E098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 li su neophodna finansijska sredstva obezbijeđena u budžetu</w:t>
            </w:r>
            <w:r w:rsidR="00C111D8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lokalnih samouprava odnosno budžetu Crne Gore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za tekuću fiskalnu godinu, odnosno da li su planirana u bud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žetu za narednu fiska</w:t>
            </w:r>
            <w:r w:rsidR="00C75D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l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nu godinu?</w:t>
            </w:r>
          </w:p>
          <w:p w14:paraId="64CF0A0C" w14:textId="77777777" w:rsidR="001C29C8" w:rsidRPr="002D22DA" w:rsidRDefault="001C29C8" w:rsidP="001C29C8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Da li propis utiče na visinu prihoda jedinice lokalne samouprave</w:t>
            </w:r>
            <w:r w:rsidR="00EB773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odnosno prihoda budžeta Crne Gore</w:t>
            </w:r>
            <w:r w:rsidR="009A2CE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 kako?</w:t>
            </w:r>
          </w:p>
          <w:p w14:paraId="75C15E99" w14:textId="77777777" w:rsidR="00A07773" w:rsidRPr="002D22DA" w:rsidRDefault="00D06D2A" w:rsidP="00C450D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a li će se implementacijom propisa ostvariti 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novi 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prihod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i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za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budžet jedinice</w:t>
            </w:r>
            <w:r w:rsidR="00C111D8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lokalne samouprave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,</w:t>
            </w:r>
            <w:r w:rsidR="00C111D8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odnosno za 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budžet Crne Gore?</w:t>
            </w:r>
          </w:p>
          <w:p w14:paraId="16571789" w14:textId="77777777" w:rsidR="00C450DD" w:rsidRPr="002D22DA" w:rsidRDefault="00C450DD" w:rsidP="00235B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Ko 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su</w:t>
            </w:r>
            <w:r w:rsidR="009A2CE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potencijalni </w:t>
            </w:r>
            <w:r w:rsidR="005834B1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korisnici</w:t>
            </w:r>
            <w:r w:rsidR="009A2CE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budžeta za implementaciju propisa (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u kojem procentu bi korisnici mogli biti muškarci, a u kojem žene? </w:t>
            </w:r>
            <w:r w:rsidR="00235BF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Da li implementacija budžeta može biti uzrok neravnopravnosti između muškar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</w:t>
            </w:r>
            <w:r w:rsidR="00235BF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c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</w:t>
            </w:r>
            <w:r w:rsidR="00235BF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i žen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</w:t>
            </w:r>
            <w:r w:rsidR="00235BF5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)</w:t>
            </w:r>
          </w:p>
          <w:p w14:paraId="262E914D" w14:textId="77777777" w:rsidR="00A07773" w:rsidRPr="002D22DA" w:rsidRDefault="00A07773" w:rsidP="009A2CEB">
            <w:pPr>
              <w:pStyle w:val="ListParagraph"/>
              <w:ind w:left="630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</w:p>
        </w:tc>
      </w:tr>
      <w:tr w:rsidR="00702CFF" w:rsidRPr="002D22DA" w14:paraId="38955CA6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3AD5A3AB" w14:textId="77777777" w:rsidR="00D554AC" w:rsidRDefault="00D554AC">
            <w:pPr>
              <w:spacing w:after="80"/>
              <w:rPr>
                <w:rFonts w:ascii="Arial" w:eastAsia="Arial" w:hAnsi="Arial"/>
                <w:b w:val="0"/>
                <w:bCs/>
                <w:sz w:val="20"/>
                <w:lang w:val="sr-Latn-ME"/>
              </w:rPr>
            </w:pPr>
          </w:p>
          <w:p w14:paraId="1B2EBA8F" w14:textId="37AE7545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Za rad i ostvarivanje ciljeva Fondacije biće potrebna finansijska sredstva. Odlukom je predviđeno da se Fondacija može finansirati iz državnog budžeta, budžeta jedinice lokalne samouprave, fondova Evropske unije, dobrovoljnih priloga, sponzorstava i donacija, poklona, kamata, dividendi i zakupnina, dobiti od obavljanja privredne djelatnosti i drugih zakonom dozvoljenih izvora.</w:t>
            </w:r>
          </w:p>
          <w:p w14:paraId="6AB7B572" w14:textId="4CE5B9D3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Finansiranje nije zamišljeno isključivo kao jednokratno, već može trajati tokom perioda realizacije projekta i postprojektnih aktivnosti, u skladu sa finansijskim planovima i raspoloživim izvorima.</w:t>
            </w:r>
          </w:p>
          <w:p w14:paraId="24B8CAC8" w14:textId="2416C432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Odlukom je utvrđeno da Fondacija nema početnu imovinu. Sredstva Fondacije koristiće se isključivo za ostvarivanje ciljeva utvrđenih Odlukom, u skladu sa finansijskim planom koji usvaja Upravni odbor, uz obavezu podnošenja godišnjeg izvještaja o radu i finansijskog izvještaja Skupštini opštine.</w:t>
            </w:r>
          </w:p>
          <w:p w14:paraId="60481181" w14:textId="0F407AAA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Mogući su indirektni pozitivni fiskalni efekti kroz razvoj kulturnih i kreativnih industrija, turizma i privrednih aktivnosti</w:t>
            </w:r>
            <w:r w:rsidR="00D678CF">
              <w:rPr>
                <w:rFonts w:ascii="Arial" w:eastAsia="Arial" w:hAnsi="Arial"/>
                <w:sz w:val="20"/>
                <w:lang w:val="sr-Latn-ME"/>
              </w:rPr>
              <w:t>.</w:t>
            </w:r>
          </w:p>
          <w:p w14:paraId="37CAECCE" w14:textId="77777777" w:rsidR="00D03FD0" w:rsidRDefault="00476B16">
            <w:pPr>
              <w:spacing w:after="80"/>
              <w:rPr>
                <w:rFonts w:ascii="Arial" w:eastAsia="Arial" w:hAnsi="Arial"/>
                <w:b w:val="0"/>
                <w:bCs/>
                <w:sz w:val="20"/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Potencijalni korisnici budžetskih sredstava biće Fondacija i, kroz njene programe i aktivnosti, različite ciljne grupe. Sama Odluka ne stvara osnov za neravnopravan tretman žena i muškaraca.</w:t>
            </w:r>
          </w:p>
          <w:p w14:paraId="47D45A34" w14:textId="62136206" w:rsidR="00D554AC" w:rsidRPr="002D22DA" w:rsidRDefault="00D554AC">
            <w:pPr>
              <w:spacing w:after="80"/>
              <w:rPr>
                <w:lang w:val="sr-Latn-ME"/>
              </w:rPr>
            </w:pPr>
          </w:p>
        </w:tc>
      </w:tr>
      <w:tr w:rsidR="00282840" w:rsidRPr="002D22DA" w14:paraId="176EBCB6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55102B63" w14:textId="77777777" w:rsidR="00282840" w:rsidRPr="002D22DA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6</w:t>
            </w:r>
            <w:r w:rsidR="001D0BF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. </w:t>
            </w:r>
            <w:r w:rsidR="00282840" w:rsidRPr="002D22DA"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28284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onsultacije zainteresovanih strana</w:t>
            </w:r>
          </w:p>
          <w:p w14:paraId="685D620F" w14:textId="77777777" w:rsidR="00A07773" w:rsidRPr="002D22DA" w:rsidRDefault="00A07773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Naznačiti da li je korišćena eksterna 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ekspertska podrška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i ako da, kako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</w:p>
          <w:p w14:paraId="6187C545" w14:textId="77777777" w:rsidR="00A07773" w:rsidRPr="002D22DA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aznačiti koje su grupe zainteresovanih strana konsultovane, u kojoj fazi RIA procesa i kako (javne ili ciljane konsultacije)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</w:p>
          <w:p w14:paraId="30A7D085" w14:textId="77777777" w:rsidR="00C450DD" w:rsidRPr="002D22DA" w:rsidRDefault="00C450DD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Da li </w:t>
            </w:r>
            <w:r w:rsidR="006710A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su</w:t>
            </w:r>
            <w:r w:rsidR="00B7089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predstavnice</w:t>
            </w:r>
            <w:r w:rsidR="009A2CE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žen</w:t>
            </w:r>
            <w:r w:rsidR="00B7089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skih udruženja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bile </w:t>
            </w:r>
            <w:r w:rsidR="00B7089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uključene u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konsultacij</w:t>
            </w:r>
            <w:r w:rsidR="00B7089B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e</w:t>
            </w: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?</w:t>
            </w:r>
          </w:p>
          <w:p w14:paraId="68C21C1D" w14:textId="77777777" w:rsidR="00A07773" w:rsidRPr="00D678CF" w:rsidRDefault="001D0BF0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N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aznačiti glavne rezultate</w:t>
            </w:r>
            <w:r w:rsidR="00D4308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konsultacija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, i </w:t>
            </w:r>
            <w:r w:rsidR="00D4308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koji su predlozi i sugestije zainteresovanih strana prihv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aćeni odnosno nijesu prihvaćeni.</w:t>
            </w:r>
            <w:r w:rsidR="00D4308A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 Obrazložiti</w:t>
            </w:r>
            <w:r w:rsidR="0000426F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.</w:t>
            </w:r>
          </w:p>
          <w:p w14:paraId="30F739BC" w14:textId="1CA45E4B" w:rsidR="00D678CF" w:rsidRPr="002D22DA" w:rsidRDefault="00D678CF" w:rsidP="00D678CF">
            <w:pPr>
              <w:pStyle w:val="ListParagraph"/>
              <w:autoSpaceDE w:val="0"/>
              <w:autoSpaceDN w:val="0"/>
              <w:adjustRightInd w:val="0"/>
              <w:ind w:left="630"/>
              <w:contextualSpacing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</w:p>
        </w:tc>
      </w:tr>
      <w:tr w:rsidR="00D678CF" w:rsidRPr="002D22DA" w14:paraId="57A9C3E3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0AA124BF" w14:textId="77777777" w:rsidR="003B5D99" w:rsidRPr="003B5D99" w:rsidRDefault="003B5D99" w:rsidP="003B5D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3B5D99">
              <w:rPr>
                <w:rFonts w:ascii="Arial" w:hAnsi="Arial" w:cs="Arial"/>
                <w:sz w:val="20"/>
                <w:szCs w:val="20"/>
                <w:lang w:val="sr-Latn-ME"/>
              </w:rPr>
              <w:t xml:space="preserve">Prilikom izrade odluke konsultovani su eksterni eksperti na regionalnom i međunarodnom nivou koji su imali iskustvo u operativnoj realizaciji i evaluaciji EPK projekta. Između ostalog, kao eksperti saradnici angažovani su: dr Beatriz Garcia, vodeći međunarodni ekspert za monitoring i evaluaciju EPK projekta, kao i dr Vuk Radulović, međunarodni konsultant za EPK projekte i pravni stručnjak u ovoj oblasti.  Konsultacije su realizovane i sa gradovima nosiocima titule Evropske prestonice kulture, kroz direktnu komunikaciju sa predstavnicima organizacija koje implementiraju projekat, kao i kroz Culture Next mrežu za gradove kandidate i nosioce titule Evropske prestonice kulture. U svrhu informisanja je u okviru pomenute mreže organizovan i </w:t>
            </w:r>
            <w:r w:rsidRPr="003B5D99">
              <w:rPr>
                <w:rFonts w:ascii="Arial" w:hAnsi="Arial" w:cs="Arial"/>
                <w:sz w:val="20"/>
                <w:szCs w:val="20"/>
                <w:lang w:val="sr-Latn-ME"/>
              </w:rPr>
              <w:lastRenderedPageBreak/>
              <w:t>program mobilnosti. Konsultacije su u kontinuitetu tokom 2026. godine realizovane i sa Ministarstvom kulture i medija, kao i Ministarstvom regionalno-investicionog razvoja i saradnje sa nevladinim organizacijama. Predstavnice ženskih udruženja nisu bile uključene kao ciljana grupa u procesu konsultacija.</w:t>
            </w:r>
          </w:p>
          <w:p w14:paraId="630B75B2" w14:textId="77777777" w:rsidR="003B5D99" w:rsidRPr="003B5D99" w:rsidRDefault="003B5D99" w:rsidP="003B5D9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r-Latn-ME"/>
              </w:rPr>
            </w:pPr>
          </w:p>
          <w:p w14:paraId="2160CA60" w14:textId="4AD35150" w:rsidR="00D678CF" w:rsidRPr="003B5D99" w:rsidRDefault="003B5D99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3B5D99">
              <w:rPr>
                <w:rFonts w:ascii="Arial" w:hAnsi="Arial" w:cs="Arial"/>
                <w:sz w:val="20"/>
                <w:szCs w:val="20"/>
                <w:lang w:val="sr-Latn-ME"/>
              </w:rPr>
              <w:t>Glavne sugestije međunarodnih eksperata i zainteresovanih strana bile su vezane za neophodnost primjene najboljih praksi u obezbjeđivanju nezavisnog i fleksibilnog operativnog sistema, koji omogućava efikasan projektni rad i privlačenje različitih izvora domaćeg i međunarodnog sufinansiranja. Od strane angažovanih saradnika u okviru Kancelarije Nikšić 2030 Evropska prestonica kulture izvršena je analiza različitih mogućih modela i mapirane prepreke i prednosti svakog od mogućih modela. Na osnovu detaljne analize izrađene su preporuke u pravcu osnivanja fondacije kao najefikasnijeg modela.</w:t>
            </w:r>
          </w:p>
          <w:p w14:paraId="75D3C141" w14:textId="09BFE27F" w:rsidR="00D678CF" w:rsidRPr="002D22DA" w:rsidRDefault="00D678CF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</w:p>
        </w:tc>
      </w:tr>
      <w:tr w:rsidR="00282840" w:rsidRPr="002D22DA" w14:paraId="7F1542BF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57A6571" w14:textId="77777777" w:rsidR="00282840" w:rsidRPr="002D22DA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lastRenderedPageBreak/>
              <w:t>7</w:t>
            </w:r>
            <w:r w:rsidR="00282840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: Monitoring i evaluacija</w:t>
            </w:r>
          </w:p>
          <w:p w14:paraId="239281E9" w14:textId="77777777" w:rsidR="0000426F" w:rsidRPr="002D22DA" w:rsidRDefault="00D06D2A" w:rsidP="0000426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 xml:space="preserve">oje su potencijalne prepreke za implementaciju propisa? </w:t>
            </w:r>
          </w:p>
          <w:p w14:paraId="468E83A9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oji su glavni indikatori prema kojima će se mjeriti ispunjenje ciljeva?</w:t>
            </w:r>
          </w:p>
          <w:p w14:paraId="645DD730" w14:textId="77777777" w:rsidR="00A07773" w:rsidRPr="002D22DA" w:rsidRDefault="00D06D2A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b w:val="0"/>
                <w:color w:val="365F91" w:themeColor="accent1" w:themeShade="BF"/>
                <w:sz w:val="20"/>
                <w:szCs w:val="20"/>
                <w:lang w:val="sr-Latn-ME"/>
              </w:rPr>
            </w:pPr>
            <w:r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K</w:t>
            </w:r>
            <w:r w:rsidR="00A07773" w:rsidRPr="002D22DA">
              <w:rPr>
                <w:rFonts w:ascii="Arial" w:hAnsi="Arial" w:cs="Arial"/>
                <w:color w:val="365F91" w:themeColor="accent1" w:themeShade="BF"/>
                <w:sz w:val="20"/>
                <w:szCs w:val="20"/>
                <w:lang w:val="sr-Latn-ME"/>
              </w:rPr>
              <w:t>o će biti zadužen za sprovođenje monitoringa i evaluacije primjene propisa?</w:t>
            </w:r>
          </w:p>
        </w:tc>
      </w:tr>
      <w:tr w:rsidR="00282840" w:rsidRPr="002D22DA" w14:paraId="2AAE8389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6DAE9252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Potencijalne prepreke za implementaciju su: blagovremeno obezbjeđivanje finansijskih sredstava iz planiranih izvora; formiranje i efikasan rad organa Fondacije; obezbjeđivanje stručnih kadrova; koordinacija velikog broja domaćih i međunarodnih partnera; realizacija složenog višegodišnjeg programa; i održavanje kontinuiteta i transparentnosti upravljanja.</w:t>
            </w:r>
          </w:p>
          <w:p w14:paraId="5D303438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Glavni indikatori mogu biti: upis Fondacije u registar i uspostavljanje organa; usvajanje Statuta i finansijskih planova; realizacija planiranih programa i projekata; broj i kvalitet domaćih i međunarodnih partnerstava; broj realizovanih kulturnih, obrazovnih i drugih aktivnosti; stepen uključivanja građana i mladih; obezbijeđena sredstva iz različitih izvora; realizacija infrastrukturnih i programskih aktivnosti predviđenih projektom; ostvareni rezultati monitoringa projekta; i redovno podnošenje godišnjih izvještaja o radu i finansijskih izvještaja.</w:t>
            </w:r>
          </w:p>
          <w:p w14:paraId="1D503FDB" w14:textId="77777777" w:rsidR="00D03FD0" w:rsidRPr="002D22DA" w:rsidRDefault="00476B16">
            <w:pPr>
              <w:spacing w:after="80"/>
              <w:rPr>
                <w:lang w:val="sr-Latn-ME"/>
              </w:rPr>
            </w:pPr>
            <w:r w:rsidRPr="002D22DA">
              <w:rPr>
                <w:rFonts w:ascii="Arial" w:eastAsia="Arial" w:hAnsi="Arial"/>
                <w:sz w:val="20"/>
                <w:lang w:val="sr-Latn-ME"/>
              </w:rPr>
              <w:t>Za monitoring i evaluaciju rada Fondacije odgovorni su njeni organi u okviru nadležnosti utvrđenih Odlukom i Statutom, dok je Odlukom izričito propisana obaveza Fondacije da Skupštini opštine podnosi godišnji izvještaj o radu i finansijski izvještaj. Fondacija će takođe doprinositi monitoringu i evaluaciji projekta „Nikšić 2030 – Evropska prestonica kulture“ i diseminaciji rezultata.</w:t>
            </w:r>
          </w:p>
        </w:tc>
      </w:tr>
    </w:tbl>
    <w:p w14:paraId="03F8E37C" w14:textId="77777777" w:rsidR="00BA7396" w:rsidRPr="002D22DA" w:rsidRDefault="00BA7396" w:rsidP="00BA7396">
      <w:pPr>
        <w:autoSpaceDE w:val="0"/>
        <w:autoSpaceDN w:val="0"/>
        <w:adjustRightInd w:val="0"/>
        <w:rPr>
          <w:rFonts w:ascii="Arial" w:hAnsi="Arial" w:cs="Arial"/>
          <w:b/>
          <w:bCs w:val="0"/>
          <w:color w:val="365F91" w:themeColor="accent1" w:themeShade="BF"/>
          <w:sz w:val="20"/>
          <w:szCs w:val="20"/>
          <w:lang w:val="sr-Latn-ME"/>
        </w:rPr>
      </w:pPr>
    </w:p>
    <w:p w14:paraId="64B7FB2F" w14:textId="77777777" w:rsidR="00F5254E" w:rsidRDefault="00F5254E">
      <w:pPr>
        <w:rPr>
          <w:rFonts w:ascii="Arial" w:hAnsi="Arial" w:cs="Arial"/>
          <w:b/>
          <w:color w:val="365F91" w:themeColor="accent1" w:themeShade="BF"/>
          <w:lang w:val="sr-Latn-ME"/>
        </w:rPr>
      </w:pPr>
    </w:p>
    <w:p w14:paraId="1706FB83" w14:textId="77777777" w:rsidR="00F5254E" w:rsidRDefault="00F5254E">
      <w:pPr>
        <w:rPr>
          <w:rFonts w:ascii="Arial" w:hAnsi="Arial" w:cs="Arial"/>
          <w:b/>
          <w:color w:val="365F91" w:themeColor="accent1" w:themeShade="BF"/>
          <w:lang w:val="sr-Latn-ME"/>
        </w:rPr>
      </w:pPr>
    </w:p>
    <w:p w14:paraId="7E3BAECF" w14:textId="78836F99" w:rsidR="00972845" w:rsidRDefault="00BD4282" w:rsidP="00F5254E">
      <w:pPr>
        <w:rPr>
          <w:rFonts w:ascii="Arial" w:hAnsi="Arial" w:cs="Arial"/>
          <w:b/>
          <w:color w:val="365F91" w:themeColor="accent1" w:themeShade="BF"/>
          <w:lang w:val="sr-Latn-ME"/>
        </w:rPr>
      </w:pPr>
      <w:r w:rsidRPr="002D22DA">
        <w:rPr>
          <w:rFonts w:ascii="Arial" w:hAnsi="Arial" w:cs="Arial"/>
          <w:b/>
          <w:color w:val="365F91" w:themeColor="accent1" w:themeShade="BF"/>
          <w:lang w:val="sr-Latn-ME"/>
        </w:rPr>
        <w:t>Datum i mjesto</w:t>
      </w:r>
      <w:r w:rsidR="00972845" w:rsidRPr="002D22DA">
        <w:rPr>
          <w:rFonts w:ascii="Arial" w:hAnsi="Arial" w:cs="Arial"/>
          <w:b/>
          <w:color w:val="365F91" w:themeColor="accent1" w:themeShade="BF"/>
          <w:lang w:val="sr-Latn-ME"/>
        </w:rPr>
        <w:tab/>
      </w:r>
      <w:r w:rsidR="00972845" w:rsidRPr="002D22DA">
        <w:rPr>
          <w:rFonts w:ascii="Arial" w:hAnsi="Arial" w:cs="Arial"/>
          <w:b/>
          <w:color w:val="365F91" w:themeColor="accent1" w:themeShade="BF"/>
          <w:lang w:val="sr-Latn-ME"/>
        </w:rPr>
        <w:tab/>
      </w:r>
      <w:r w:rsidR="00972845" w:rsidRPr="002D22DA">
        <w:rPr>
          <w:rFonts w:ascii="Arial" w:hAnsi="Arial" w:cs="Arial"/>
          <w:b/>
          <w:color w:val="365F91" w:themeColor="accent1" w:themeShade="BF"/>
          <w:lang w:val="sr-Latn-ME"/>
        </w:rPr>
        <w:tab/>
      </w:r>
      <w:r w:rsidR="00F5254E">
        <w:rPr>
          <w:rFonts w:ascii="Arial" w:hAnsi="Arial" w:cs="Arial"/>
          <w:b/>
          <w:color w:val="365F91" w:themeColor="accent1" w:themeShade="BF"/>
          <w:lang w:val="sr-Latn-ME"/>
        </w:rPr>
        <w:t xml:space="preserve">                        </w:t>
      </w:r>
      <w:r w:rsidR="00972845" w:rsidRPr="002D22DA">
        <w:rPr>
          <w:rFonts w:ascii="Arial" w:hAnsi="Arial" w:cs="Arial"/>
          <w:b/>
          <w:color w:val="365F91" w:themeColor="accent1" w:themeShade="BF"/>
          <w:lang w:val="sr-Latn-ME"/>
        </w:rPr>
        <w:tab/>
      </w:r>
      <w:r w:rsidR="001C29C8" w:rsidRPr="002D22DA">
        <w:rPr>
          <w:rFonts w:ascii="Arial" w:hAnsi="Arial" w:cs="Arial"/>
          <w:b/>
          <w:color w:val="365F91" w:themeColor="accent1" w:themeShade="BF"/>
          <w:lang w:val="sr-Latn-ME"/>
        </w:rPr>
        <w:t>PREDLAGAČ PROPISA</w:t>
      </w:r>
    </w:p>
    <w:p w14:paraId="655D3C49" w14:textId="65041BA8" w:rsidR="00F5254E" w:rsidRDefault="00F5254E" w:rsidP="00F5254E">
      <w:pPr>
        <w:rPr>
          <w:rFonts w:ascii="Arial" w:hAnsi="Arial" w:cs="Arial"/>
          <w:b/>
          <w:color w:val="365F91" w:themeColor="accent1" w:themeShade="BF"/>
          <w:lang w:val="sr-Latn-ME"/>
        </w:rPr>
      </w:pPr>
      <w:r>
        <w:rPr>
          <w:rFonts w:ascii="Arial" w:hAnsi="Arial" w:cs="Arial"/>
          <w:b/>
          <w:color w:val="365F91" w:themeColor="accent1" w:themeShade="BF"/>
          <w:lang w:val="sr-Latn-ME"/>
        </w:rPr>
        <w:t xml:space="preserve">                                                                                              Predsjednik</w:t>
      </w:r>
    </w:p>
    <w:p w14:paraId="69A5D68B" w14:textId="0FFBFF57" w:rsidR="00F5254E" w:rsidRPr="002D22DA" w:rsidRDefault="00F5254E" w:rsidP="00F5254E">
      <w:pPr>
        <w:rPr>
          <w:rFonts w:ascii="Arial" w:hAnsi="Arial" w:cs="Arial"/>
          <w:b/>
          <w:color w:val="365F91" w:themeColor="accent1" w:themeShade="BF"/>
          <w:lang w:val="sr-Latn-ME"/>
        </w:rPr>
      </w:pPr>
      <w:r>
        <w:rPr>
          <w:rFonts w:ascii="Arial" w:hAnsi="Arial" w:cs="Arial"/>
          <w:b/>
          <w:color w:val="365F91" w:themeColor="accent1" w:themeShade="BF"/>
          <w:lang w:val="sr-Latn-ME"/>
        </w:rPr>
        <w:t xml:space="preserve">                                                                                           Marko Kovačević</w:t>
      </w:r>
    </w:p>
    <w:p w14:paraId="52AE4631" w14:textId="77777777" w:rsidR="00972845" w:rsidRPr="002D22DA" w:rsidRDefault="00972845">
      <w:pPr>
        <w:rPr>
          <w:rFonts w:ascii="Arial" w:hAnsi="Arial" w:cs="Arial"/>
          <w:color w:val="365F91" w:themeColor="accent1" w:themeShade="BF"/>
          <w:lang w:val="sr-Latn-ME"/>
        </w:rPr>
      </w:pPr>
    </w:p>
    <w:p w14:paraId="02C79D8C" w14:textId="2E66F358" w:rsidR="00972845" w:rsidRPr="002D22DA" w:rsidRDefault="00972845">
      <w:pPr>
        <w:rPr>
          <w:rFonts w:ascii="Arial" w:hAnsi="Arial" w:cs="Arial"/>
          <w:color w:val="1F497D" w:themeColor="text2"/>
          <w:lang w:val="sr-Latn-ME"/>
        </w:rPr>
      </w:pPr>
      <w:r w:rsidRPr="002D22DA">
        <w:rPr>
          <w:rFonts w:ascii="Arial" w:hAnsi="Arial" w:cs="Arial"/>
          <w:color w:val="365F91" w:themeColor="accent1" w:themeShade="BF"/>
          <w:lang w:val="sr-Latn-ME"/>
        </w:rPr>
        <w:t>___________________</w:t>
      </w:r>
      <w:r w:rsidRPr="002D22DA">
        <w:rPr>
          <w:rFonts w:ascii="Arial" w:hAnsi="Arial" w:cs="Arial"/>
          <w:color w:val="365F91" w:themeColor="accent1" w:themeShade="BF"/>
          <w:lang w:val="sr-Latn-ME"/>
        </w:rPr>
        <w:tab/>
      </w:r>
      <w:r w:rsidRPr="002D22DA">
        <w:rPr>
          <w:rFonts w:ascii="Arial" w:hAnsi="Arial" w:cs="Arial"/>
          <w:color w:val="365F91" w:themeColor="accent1" w:themeShade="BF"/>
          <w:lang w:val="sr-Latn-ME"/>
        </w:rPr>
        <w:tab/>
      </w:r>
      <w:r w:rsidRPr="002D22DA">
        <w:rPr>
          <w:rFonts w:ascii="Arial" w:hAnsi="Arial" w:cs="Arial"/>
          <w:color w:val="365F91" w:themeColor="accent1" w:themeShade="BF"/>
          <w:lang w:val="sr-Latn-ME"/>
        </w:rPr>
        <w:tab/>
      </w:r>
      <w:r w:rsidRPr="002D22DA">
        <w:rPr>
          <w:rFonts w:ascii="Arial" w:hAnsi="Arial" w:cs="Arial"/>
          <w:color w:val="365F91" w:themeColor="accent1" w:themeShade="BF"/>
          <w:lang w:val="sr-Latn-ME"/>
        </w:rPr>
        <w:tab/>
      </w:r>
      <w:r w:rsidR="00F5254E">
        <w:rPr>
          <w:rFonts w:ascii="Arial" w:hAnsi="Arial" w:cs="Arial"/>
          <w:color w:val="365F91" w:themeColor="accent1" w:themeShade="BF"/>
          <w:lang w:val="sr-Latn-ME"/>
        </w:rPr>
        <w:t xml:space="preserve">      </w:t>
      </w:r>
      <w:r w:rsidRPr="002D22DA">
        <w:rPr>
          <w:rFonts w:ascii="Arial" w:hAnsi="Arial" w:cs="Arial"/>
          <w:color w:val="365F91" w:themeColor="accent1" w:themeShade="BF"/>
          <w:lang w:val="sr-Latn-ME"/>
        </w:rPr>
        <w:t>__________________________</w:t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  <w:r w:rsidRPr="002D22DA">
        <w:rPr>
          <w:rFonts w:ascii="Arial" w:hAnsi="Arial" w:cs="Arial"/>
          <w:color w:val="1F497D" w:themeColor="text2"/>
          <w:lang w:val="sr-Latn-ME"/>
        </w:rPr>
        <w:tab/>
      </w:r>
    </w:p>
    <w:p w14:paraId="3EF3ABDF" w14:textId="77777777" w:rsidR="00972845" w:rsidRPr="002D22DA" w:rsidRDefault="00972845">
      <w:pPr>
        <w:rPr>
          <w:rFonts w:ascii="Arial" w:hAnsi="Arial" w:cs="Arial"/>
          <w:color w:val="365F91" w:themeColor="accent1" w:themeShade="BF"/>
          <w:lang w:val="sr-Latn-ME"/>
        </w:rPr>
      </w:pPr>
    </w:p>
    <w:sectPr w:rsidR="00972845" w:rsidRPr="002D22DA" w:rsidSect="0032238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35DD" w14:textId="77777777" w:rsidR="00E72CAA" w:rsidRDefault="00E72CAA" w:rsidP="00BA7396">
      <w:r>
        <w:separator/>
      </w:r>
    </w:p>
  </w:endnote>
  <w:endnote w:type="continuationSeparator" w:id="0">
    <w:p w14:paraId="2976D2B4" w14:textId="77777777" w:rsidR="00E72CAA" w:rsidRDefault="00E72CAA" w:rsidP="00BA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201E8" w14:textId="77777777" w:rsidR="00E72CAA" w:rsidRDefault="00E72CAA" w:rsidP="00BA7396">
      <w:r>
        <w:separator/>
      </w:r>
    </w:p>
  </w:footnote>
  <w:footnote w:type="continuationSeparator" w:id="0">
    <w:p w14:paraId="3CBA922A" w14:textId="77777777" w:rsidR="00E72CAA" w:rsidRDefault="00E72CAA" w:rsidP="00BA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DAA"/>
    <w:multiLevelType w:val="hybridMultilevel"/>
    <w:tmpl w:val="14684B00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7D2"/>
    <w:multiLevelType w:val="hybridMultilevel"/>
    <w:tmpl w:val="C696205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13A0"/>
    <w:multiLevelType w:val="hybridMultilevel"/>
    <w:tmpl w:val="2DAEBCC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D3405"/>
    <w:multiLevelType w:val="hybridMultilevel"/>
    <w:tmpl w:val="B3C89CCA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52755"/>
    <w:multiLevelType w:val="hybridMultilevel"/>
    <w:tmpl w:val="4F2A5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65F91" w:themeColor="accent1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80A82"/>
    <w:multiLevelType w:val="hybridMultilevel"/>
    <w:tmpl w:val="907E9C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A5C725B"/>
    <w:multiLevelType w:val="hybridMultilevel"/>
    <w:tmpl w:val="AEF45A62"/>
    <w:lvl w:ilvl="0" w:tplc="D0C015EA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F642BB"/>
    <w:multiLevelType w:val="hybridMultilevel"/>
    <w:tmpl w:val="84A6604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C43E4"/>
    <w:multiLevelType w:val="hybridMultilevel"/>
    <w:tmpl w:val="A5426B4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42989"/>
    <w:multiLevelType w:val="hybridMultilevel"/>
    <w:tmpl w:val="4D0A119E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991EE8"/>
    <w:multiLevelType w:val="hybridMultilevel"/>
    <w:tmpl w:val="B9DA689C"/>
    <w:lvl w:ilvl="0" w:tplc="3822B8EE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49BC02A2"/>
    <w:multiLevelType w:val="hybridMultilevel"/>
    <w:tmpl w:val="5AE44FA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254D1"/>
    <w:multiLevelType w:val="hybridMultilevel"/>
    <w:tmpl w:val="178C9F2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73942"/>
    <w:multiLevelType w:val="hybridMultilevel"/>
    <w:tmpl w:val="9A58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80FF7"/>
    <w:multiLevelType w:val="hybridMultilevel"/>
    <w:tmpl w:val="5C84A8B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560577">
    <w:abstractNumId w:val="7"/>
  </w:num>
  <w:num w:numId="2" w16cid:durableId="1368220265">
    <w:abstractNumId w:val="2"/>
  </w:num>
  <w:num w:numId="3" w16cid:durableId="1535074845">
    <w:abstractNumId w:val="0"/>
  </w:num>
  <w:num w:numId="4" w16cid:durableId="1290208162">
    <w:abstractNumId w:val="12"/>
  </w:num>
  <w:num w:numId="5" w16cid:durableId="448360817">
    <w:abstractNumId w:val="3"/>
  </w:num>
  <w:num w:numId="6" w16cid:durableId="1693452064">
    <w:abstractNumId w:val="1"/>
  </w:num>
  <w:num w:numId="7" w16cid:durableId="506360752">
    <w:abstractNumId w:val="8"/>
  </w:num>
  <w:num w:numId="8" w16cid:durableId="1267347761">
    <w:abstractNumId w:val="9"/>
  </w:num>
  <w:num w:numId="9" w16cid:durableId="1407067031">
    <w:abstractNumId w:val="14"/>
  </w:num>
  <w:num w:numId="10" w16cid:durableId="710031962">
    <w:abstractNumId w:val="11"/>
  </w:num>
  <w:num w:numId="11" w16cid:durableId="1832326750">
    <w:abstractNumId w:val="4"/>
  </w:num>
  <w:num w:numId="12" w16cid:durableId="1889607113">
    <w:abstractNumId w:val="6"/>
  </w:num>
  <w:num w:numId="13" w16cid:durableId="812874181">
    <w:abstractNumId w:val="10"/>
  </w:num>
  <w:num w:numId="14" w16cid:durableId="2100590823">
    <w:abstractNumId w:val="10"/>
  </w:num>
  <w:num w:numId="15" w16cid:durableId="183783923">
    <w:abstractNumId w:val="5"/>
  </w:num>
  <w:num w:numId="16" w16cid:durableId="17971419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EwtzQwMbC0NDY3MDFU0lEKTi0uzszPAykwrAUAmNdT5CwAAAA="/>
  </w:docVars>
  <w:rsids>
    <w:rsidRoot w:val="00BA7396"/>
    <w:rsid w:val="0000426F"/>
    <w:rsid w:val="000114B5"/>
    <w:rsid w:val="000511F0"/>
    <w:rsid w:val="000629D8"/>
    <w:rsid w:val="00064473"/>
    <w:rsid w:val="00067FCF"/>
    <w:rsid w:val="000716AC"/>
    <w:rsid w:val="00075306"/>
    <w:rsid w:val="000C3BB9"/>
    <w:rsid w:val="000E5392"/>
    <w:rsid w:val="000E7E95"/>
    <w:rsid w:val="00136E1D"/>
    <w:rsid w:val="00154647"/>
    <w:rsid w:val="00162BB1"/>
    <w:rsid w:val="0019172A"/>
    <w:rsid w:val="001C29C8"/>
    <w:rsid w:val="001C7348"/>
    <w:rsid w:val="001D0BF0"/>
    <w:rsid w:val="001E1794"/>
    <w:rsid w:val="002072BA"/>
    <w:rsid w:val="00235BF5"/>
    <w:rsid w:val="00267C7D"/>
    <w:rsid w:val="00282840"/>
    <w:rsid w:val="00284A91"/>
    <w:rsid w:val="00294662"/>
    <w:rsid w:val="00295023"/>
    <w:rsid w:val="002A4102"/>
    <w:rsid w:val="002A6869"/>
    <w:rsid w:val="002C6C29"/>
    <w:rsid w:val="002D22DA"/>
    <w:rsid w:val="002E7569"/>
    <w:rsid w:val="002E7A48"/>
    <w:rsid w:val="00310915"/>
    <w:rsid w:val="00322389"/>
    <w:rsid w:val="00357476"/>
    <w:rsid w:val="00374085"/>
    <w:rsid w:val="00380D3B"/>
    <w:rsid w:val="00392F99"/>
    <w:rsid w:val="00395587"/>
    <w:rsid w:val="003B5D99"/>
    <w:rsid w:val="003F334E"/>
    <w:rsid w:val="0047459A"/>
    <w:rsid w:val="00476B16"/>
    <w:rsid w:val="004A4396"/>
    <w:rsid w:val="004B549B"/>
    <w:rsid w:val="004E1351"/>
    <w:rsid w:val="004F4F9C"/>
    <w:rsid w:val="00504237"/>
    <w:rsid w:val="0054756C"/>
    <w:rsid w:val="005805F3"/>
    <w:rsid w:val="005834B1"/>
    <w:rsid w:val="005A1243"/>
    <w:rsid w:val="005C4266"/>
    <w:rsid w:val="005F00B7"/>
    <w:rsid w:val="005F03ED"/>
    <w:rsid w:val="005F6D49"/>
    <w:rsid w:val="00601210"/>
    <w:rsid w:val="006129CD"/>
    <w:rsid w:val="006710AA"/>
    <w:rsid w:val="00673F68"/>
    <w:rsid w:val="00681DE1"/>
    <w:rsid w:val="006A1B2C"/>
    <w:rsid w:val="006A3B25"/>
    <w:rsid w:val="006A3B76"/>
    <w:rsid w:val="006B4020"/>
    <w:rsid w:val="006C4F93"/>
    <w:rsid w:val="006E4E97"/>
    <w:rsid w:val="006F1605"/>
    <w:rsid w:val="00702CFF"/>
    <w:rsid w:val="007043B6"/>
    <w:rsid w:val="00705E35"/>
    <w:rsid w:val="00715DF7"/>
    <w:rsid w:val="00721DB9"/>
    <w:rsid w:val="00733149"/>
    <w:rsid w:val="00736E8D"/>
    <w:rsid w:val="00741A35"/>
    <w:rsid w:val="007A1C7D"/>
    <w:rsid w:val="007C12EB"/>
    <w:rsid w:val="007D05DC"/>
    <w:rsid w:val="00811597"/>
    <w:rsid w:val="008169A7"/>
    <w:rsid w:val="008301C9"/>
    <w:rsid w:val="008322D4"/>
    <w:rsid w:val="00833765"/>
    <w:rsid w:val="008352FD"/>
    <w:rsid w:val="00846676"/>
    <w:rsid w:val="0085327D"/>
    <w:rsid w:val="00871235"/>
    <w:rsid w:val="00871836"/>
    <w:rsid w:val="008A2781"/>
    <w:rsid w:val="008B09E9"/>
    <w:rsid w:val="008C0535"/>
    <w:rsid w:val="008E4862"/>
    <w:rsid w:val="008E4CCC"/>
    <w:rsid w:val="008E6C79"/>
    <w:rsid w:val="009535C3"/>
    <w:rsid w:val="00960A46"/>
    <w:rsid w:val="00972845"/>
    <w:rsid w:val="00981466"/>
    <w:rsid w:val="009815B5"/>
    <w:rsid w:val="009874EB"/>
    <w:rsid w:val="009A2CEB"/>
    <w:rsid w:val="00A07773"/>
    <w:rsid w:val="00A265F9"/>
    <w:rsid w:val="00A362E7"/>
    <w:rsid w:val="00A71595"/>
    <w:rsid w:val="00AA117E"/>
    <w:rsid w:val="00AA6F41"/>
    <w:rsid w:val="00AC6578"/>
    <w:rsid w:val="00AD100C"/>
    <w:rsid w:val="00AD6940"/>
    <w:rsid w:val="00B2646E"/>
    <w:rsid w:val="00B40AA1"/>
    <w:rsid w:val="00B535B4"/>
    <w:rsid w:val="00B7089B"/>
    <w:rsid w:val="00BA7396"/>
    <w:rsid w:val="00BA7877"/>
    <w:rsid w:val="00BD4282"/>
    <w:rsid w:val="00BE11B9"/>
    <w:rsid w:val="00C111D8"/>
    <w:rsid w:val="00C179F9"/>
    <w:rsid w:val="00C450DD"/>
    <w:rsid w:val="00C5148C"/>
    <w:rsid w:val="00C549B4"/>
    <w:rsid w:val="00C72668"/>
    <w:rsid w:val="00C75DF0"/>
    <w:rsid w:val="00C773E3"/>
    <w:rsid w:val="00C87DA2"/>
    <w:rsid w:val="00CB20F0"/>
    <w:rsid w:val="00D03FD0"/>
    <w:rsid w:val="00D06D2A"/>
    <w:rsid w:val="00D25692"/>
    <w:rsid w:val="00D27C82"/>
    <w:rsid w:val="00D4308A"/>
    <w:rsid w:val="00D554AC"/>
    <w:rsid w:val="00D678CF"/>
    <w:rsid w:val="00D87CB1"/>
    <w:rsid w:val="00E3478E"/>
    <w:rsid w:val="00E61671"/>
    <w:rsid w:val="00E721E9"/>
    <w:rsid w:val="00E72CAA"/>
    <w:rsid w:val="00EB773F"/>
    <w:rsid w:val="00ED0AF4"/>
    <w:rsid w:val="00ED0F74"/>
    <w:rsid w:val="00ED4766"/>
    <w:rsid w:val="00F20105"/>
    <w:rsid w:val="00F5254E"/>
    <w:rsid w:val="00F72683"/>
    <w:rsid w:val="00F7433F"/>
    <w:rsid w:val="00F829CD"/>
    <w:rsid w:val="00FB6BD5"/>
    <w:rsid w:val="00FB7CBA"/>
    <w:rsid w:val="00FF1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3F3FA"/>
  <w15:docId w15:val="{7A258DD2-C1CE-40A4-983F-D44BA193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Branko"/>
    <w:qFormat/>
    <w:rsid w:val="00BA7396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BA7396"/>
    <w:pPr>
      <w:keepNext/>
      <w:numPr>
        <w:numId w:val="12"/>
      </w:numPr>
      <w:spacing w:before="240" w:after="60"/>
      <w:outlineLvl w:val="1"/>
    </w:pPr>
    <w:rPr>
      <w:rFonts w:ascii="Arial" w:hAnsi="Arial" w:cs="Arial"/>
      <w:b/>
      <w:i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7396"/>
    <w:rPr>
      <w:rFonts w:ascii="Arial" w:eastAsia="Times New Roman" w:hAnsi="Arial" w:cs="Arial"/>
      <w:b/>
      <w:bCs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BA7396"/>
    <w:pPr>
      <w:spacing w:before="40" w:after="40"/>
      <w:jc w:val="left"/>
    </w:pPr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396"/>
    <w:rPr>
      <w:rFonts w:ascii="Arial" w:eastAsia="Times New Roman" w:hAnsi="Arial" w:cs="Arial"/>
      <w:bCs/>
      <w:sz w:val="16"/>
      <w:szCs w:val="16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rsid w:val="00BA7396"/>
    <w:rPr>
      <w:rFonts w:ascii="Garamond" w:hAnsi="Garamond"/>
      <w:sz w:val="20"/>
      <w:vertAlign w:val="superscript"/>
    </w:rPr>
  </w:style>
  <w:style w:type="paragraph" w:styleId="ListParagraph">
    <w:name w:val="List Paragraph"/>
    <w:basedOn w:val="Normal"/>
    <w:uiPriority w:val="34"/>
    <w:qFormat/>
    <w:rsid w:val="00BA7396"/>
    <w:pPr>
      <w:ind w:left="720"/>
    </w:pPr>
  </w:style>
  <w:style w:type="table" w:styleId="TableGrid">
    <w:name w:val="Table Grid"/>
    <w:basedOn w:val="TableNormal"/>
    <w:uiPriority w:val="59"/>
    <w:rsid w:val="00832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pand1">
    <w:name w:val="expand1"/>
    <w:basedOn w:val="DefaultParagraphFont"/>
    <w:rsid w:val="005F03ED"/>
    <w:rPr>
      <w:rFonts w:ascii="Arial" w:hAnsi="Arial" w:cs="Arial" w:hint="default"/>
      <w:i w:val="0"/>
      <w:iCs w:val="0"/>
      <w:vanish/>
      <w:webHidden w:val="0"/>
      <w:sz w:val="18"/>
      <w:szCs w:val="18"/>
      <w:specVanish w:val="0"/>
    </w:rPr>
  </w:style>
  <w:style w:type="table" w:styleId="LightGrid-Accent5">
    <w:name w:val="Light Grid Accent 5"/>
    <w:basedOn w:val="TableNormal"/>
    <w:uiPriority w:val="62"/>
    <w:rsid w:val="000511F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CF"/>
    <w:rPr>
      <w:rFonts w:ascii="Tahoma" w:eastAsia="Times New Roman" w:hAnsi="Tahoma" w:cs="Tahoma"/>
      <w:bCs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D0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F0"/>
    <w:rPr>
      <w:rFonts w:ascii="Garamond" w:eastAsia="Times New Roman" w:hAnsi="Garamond" w:cs="Times New Roman"/>
      <w:bCs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F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F0"/>
    <w:rPr>
      <w:rFonts w:ascii="Garamond" w:eastAsia="Times New Roman" w:hAnsi="Garamond" w:cs="Times New Roman"/>
      <w:b/>
      <w:bCs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6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98925-7968-48BD-85E3-F5C6C6E4A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2006</Words>
  <Characters>11435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Marusic</dc:creator>
  <cp:lastModifiedBy>Danijela Cizmovic</cp:lastModifiedBy>
  <cp:revision>3</cp:revision>
  <cp:lastPrinted>2012-02-02T11:17:00Z</cp:lastPrinted>
  <dcterms:created xsi:type="dcterms:W3CDTF">2026-09-14T10:54:00Z</dcterms:created>
  <dcterms:modified xsi:type="dcterms:W3CDTF">2026-09-14T20:51:00Z</dcterms:modified>
</cp:coreProperties>
</file>