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92" w:rsidRPr="00E141C1" w:rsidRDefault="001E0992" w:rsidP="00E34D60">
      <w:pPr>
        <w:jc w:val="both"/>
      </w:pPr>
      <w:r w:rsidRPr="00E141C1">
        <w:t xml:space="preserve"> </w:t>
      </w:r>
    </w:p>
    <w:p w:rsidR="001E0992" w:rsidRPr="00FC7A12" w:rsidRDefault="00957416" w:rsidP="00E34D60">
      <w:pPr>
        <w:jc w:val="center"/>
      </w:pPr>
      <w:r w:rsidRPr="00FC7A12">
        <w:rPr>
          <w:noProof/>
          <w:lang w:val="sr-Latn-RS" w:eastAsia="sr-Latn-RS"/>
        </w:rPr>
        <w:drawing>
          <wp:inline distT="0" distB="0" distL="0" distR="0" wp14:anchorId="2CFF3231" wp14:editId="55354B3B">
            <wp:extent cx="1123950" cy="1447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23950" cy="1447800"/>
                    </a:xfrm>
                    <a:prstGeom prst="rect">
                      <a:avLst/>
                    </a:prstGeom>
                    <a:noFill/>
                    <a:ln w="9525">
                      <a:noFill/>
                      <a:miter lim="800000"/>
                      <a:headEnd/>
                      <a:tailEnd/>
                    </a:ln>
                  </pic:spPr>
                </pic:pic>
              </a:graphicData>
            </a:graphic>
          </wp:inline>
        </w:drawing>
      </w:r>
    </w:p>
    <w:p w:rsidR="001E0992" w:rsidRPr="00FC7A12" w:rsidRDefault="001E0992" w:rsidP="00E34D60">
      <w:pPr>
        <w:jc w:val="center"/>
      </w:pPr>
    </w:p>
    <w:p w:rsidR="001E0992" w:rsidRPr="00FC7A12" w:rsidRDefault="001E0992" w:rsidP="00E34D60">
      <w:pPr>
        <w:jc w:val="center"/>
      </w:pPr>
      <w:r w:rsidRPr="00FC7A12">
        <w:t>OPŠTINA NIKŠIĆ</w:t>
      </w:r>
    </w:p>
    <w:p w:rsidR="001E0992" w:rsidRPr="00FC7A12" w:rsidRDefault="001E0992" w:rsidP="00E34D60">
      <w:pPr>
        <w:jc w:val="center"/>
      </w:pPr>
    </w:p>
    <w:p w:rsidR="001E0992" w:rsidRPr="00FC7A12" w:rsidRDefault="001E0992" w:rsidP="00E34D60">
      <w:pPr>
        <w:jc w:val="center"/>
      </w:pPr>
    </w:p>
    <w:p w:rsidR="001E0992" w:rsidRPr="00FC7A12" w:rsidRDefault="001E0992" w:rsidP="00E34D60">
      <w:pPr>
        <w:jc w:val="center"/>
      </w:pPr>
    </w:p>
    <w:p w:rsidR="001E0992" w:rsidRPr="00FC7A12" w:rsidRDefault="001E0992" w:rsidP="00E34D60">
      <w:pPr>
        <w:jc w:val="center"/>
      </w:pPr>
    </w:p>
    <w:p w:rsidR="001E0992" w:rsidRPr="00FC7A12" w:rsidRDefault="001E0992" w:rsidP="00E34D60">
      <w:pPr>
        <w:jc w:val="center"/>
      </w:pPr>
    </w:p>
    <w:p w:rsidR="001E0992" w:rsidRPr="00FC7A12" w:rsidRDefault="001E0992" w:rsidP="00E34D60">
      <w:pPr>
        <w:jc w:val="center"/>
      </w:pPr>
    </w:p>
    <w:p w:rsidR="001E0992" w:rsidRPr="00FC7A12" w:rsidRDefault="001E0992" w:rsidP="00E34D60">
      <w:pPr>
        <w:jc w:val="center"/>
      </w:pPr>
    </w:p>
    <w:p w:rsidR="001E0992" w:rsidRPr="00FC7A12" w:rsidRDefault="001E0992" w:rsidP="00E34D60">
      <w:pPr>
        <w:jc w:val="center"/>
      </w:pPr>
    </w:p>
    <w:p w:rsidR="001E0992" w:rsidRPr="00FC7A12" w:rsidRDefault="001E0992" w:rsidP="00E34D60">
      <w:pPr>
        <w:jc w:val="center"/>
      </w:pPr>
    </w:p>
    <w:p w:rsidR="001E0992" w:rsidRPr="00FC7A12" w:rsidRDefault="001E0992" w:rsidP="00E34D60">
      <w:pPr>
        <w:jc w:val="center"/>
      </w:pPr>
    </w:p>
    <w:p w:rsidR="001E0992" w:rsidRPr="00FC7A12" w:rsidRDefault="001E0992" w:rsidP="00E34D60">
      <w:pPr>
        <w:jc w:val="center"/>
        <w:rPr>
          <w:b/>
          <w:bCs/>
        </w:rPr>
      </w:pPr>
    </w:p>
    <w:p w:rsidR="001E0992" w:rsidRPr="00FC7A12" w:rsidRDefault="001E0992" w:rsidP="00E34D60">
      <w:pPr>
        <w:jc w:val="center"/>
        <w:rPr>
          <w:b/>
          <w:bCs/>
          <w:color w:val="0070C0"/>
        </w:rPr>
      </w:pPr>
      <w:r w:rsidRPr="00FC7A12">
        <w:rPr>
          <w:b/>
          <w:bCs/>
          <w:color w:val="0070C0"/>
        </w:rPr>
        <w:t>I Z V J E Š T A J</w:t>
      </w:r>
    </w:p>
    <w:p w:rsidR="001E0992" w:rsidRPr="00FC7A12" w:rsidRDefault="001E0992" w:rsidP="00E34D60">
      <w:pPr>
        <w:jc w:val="center"/>
        <w:rPr>
          <w:b/>
          <w:bCs/>
          <w:color w:val="0070C0"/>
        </w:rPr>
      </w:pPr>
    </w:p>
    <w:p w:rsidR="001E0992" w:rsidRPr="00FC7A12" w:rsidRDefault="001E0992" w:rsidP="00E34D60">
      <w:pPr>
        <w:jc w:val="center"/>
        <w:rPr>
          <w:b/>
          <w:bCs/>
          <w:color w:val="0070C0"/>
        </w:rPr>
      </w:pPr>
      <w:r w:rsidRPr="00FC7A12">
        <w:rPr>
          <w:b/>
          <w:bCs/>
          <w:color w:val="0070C0"/>
        </w:rPr>
        <w:t>O RADU PREDSJEDNIKA OPŠTINE I RADU</w:t>
      </w:r>
    </w:p>
    <w:p w:rsidR="001E0992" w:rsidRPr="00FC7A12" w:rsidRDefault="001E0992" w:rsidP="00E34D60">
      <w:pPr>
        <w:jc w:val="center"/>
        <w:rPr>
          <w:b/>
          <w:bCs/>
          <w:color w:val="0070C0"/>
        </w:rPr>
      </w:pPr>
      <w:r w:rsidRPr="00FC7A12">
        <w:rPr>
          <w:b/>
          <w:bCs/>
          <w:color w:val="0070C0"/>
        </w:rPr>
        <w:t>ORGANA</w:t>
      </w:r>
      <w:r w:rsidR="006C2F89" w:rsidRPr="00FC7A12">
        <w:rPr>
          <w:b/>
          <w:bCs/>
          <w:color w:val="0070C0"/>
        </w:rPr>
        <w:t xml:space="preserve"> LOKALNE UPRAVE I SLUŽBI ZA 2020</w:t>
      </w:r>
      <w:r w:rsidRPr="00FC7A12">
        <w:rPr>
          <w:b/>
          <w:bCs/>
          <w:color w:val="0070C0"/>
        </w:rPr>
        <w:t>.GODINU</w:t>
      </w:r>
    </w:p>
    <w:p w:rsidR="001E0992" w:rsidRPr="00FC7A12" w:rsidRDefault="001E0992" w:rsidP="00E34D60">
      <w:pPr>
        <w:jc w:val="center"/>
        <w:rPr>
          <w:b/>
          <w:bCs/>
          <w:color w:val="0070C0"/>
        </w:rPr>
      </w:pPr>
    </w:p>
    <w:p w:rsidR="001E0992" w:rsidRPr="00FC7A12" w:rsidRDefault="001E0992" w:rsidP="00E34D60">
      <w:pPr>
        <w:jc w:val="center"/>
      </w:pPr>
    </w:p>
    <w:p w:rsidR="001E0992" w:rsidRPr="00FC7A12" w:rsidRDefault="001E0992" w:rsidP="00E34D60">
      <w:pPr>
        <w:jc w:val="center"/>
      </w:pPr>
    </w:p>
    <w:p w:rsidR="001E0992" w:rsidRPr="00FC7A12" w:rsidRDefault="001E0992" w:rsidP="00E34D60">
      <w:pPr>
        <w:jc w:val="center"/>
      </w:pPr>
    </w:p>
    <w:p w:rsidR="001E0992" w:rsidRPr="00FC7A12" w:rsidRDefault="001E0992" w:rsidP="00E34D60">
      <w:pPr>
        <w:jc w:val="center"/>
      </w:pPr>
    </w:p>
    <w:p w:rsidR="001E0992" w:rsidRPr="00FC7A12" w:rsidRDefault="001E0992" w:rsidP="00E34D60">
      <w:pPr>
        <w:jc w:val="center"/>
      </w:pPr>
    </w:p>
    <w:p w:rsidR="001E0992" w:rsidRPr="00FC7A12" w:rsidRDefault="001E0992" w:rsidP="00E34D60">
      <w:pPr>
        <w:jc w:val="center"/>
      </w:pPr>
    </w:p>
    <w:p w:rsidR="001E0992" w:rsidRPr="00FC7A12" w:rsidRDefault="001E0992" w:rsidP="00E34D60">
      <w:pPr>
        <w:jc w:val="center"/>
      </w:pPr>
    </w:p>
    <w:p w:rsidR="001E0992" w:rsidRPr="00FC7A12" w:rsidRDefault="001E0992" w:rsidP="00E34D60">
      <w:pPr>
        <w:jc w:val="center"/>
      </w:pPr>
    </w:p>
    <w:p w:rsidR="001E0992" w:rsidRPr="00FC7A12" w:rsidRDefault="001E0992" w:rsidP="00E34D60">
      <w:pPr>
        <w:jc w:val="center"/>
      </w:pPr>
    </w:p>
    <w:p w:rsidR="001E0992" w:rsidRPr="00FC7A12" w:rsidRDefault="001E0992" w:rsidP="00E34D60">
      <w:pPr>
        <w:jc w:val="center"/>
      </w:pPr>
    </w:p>
    <w:p w:rsidR="001E0992" w:rsidRPr="00FC7A12" w:rsidRDefault="001E0992" w:rsidP="00E34D60">
      <w:pPr>
        <w:jc w:val="center"/>
      </w:pPr>
    </w:p>
    <w:p w:rsidR="001E0992" w:rsidRPr="00FC7A12" w:rsidRDefault="001E0992" w:rsidP="00E34D60">
      <w:pPr>
        <w:jc w:val="center"/>
      </w:pPr>
    </w:p>
    <w:p w:rsidR="001E0992" w:rsidRPr="00FC7A12" w:rsidRDefault="001E0992" w:rsidP="00E34D60">
      <w:pPr>
        <w:jc w:val="center"/>
      </w:pPr>
    </w:p>
    <w:p w:rsidR="001E0992" w:rsidRPr="00FC7A12" w:rsidRDefault="001E0992" w:rsidP="00E34D60">
      <w:pPr>
        <w:jc w:val="center"/>
      </w:pPr>
    </w:p>
    <w:p w:rsidR="001E0992" w:rsidRPr="00FC7A12" w:rsidRDefault="001E0992" w:rsidP="00E34D60">
      <w:pPr>
        <w:jc w:val="center"/>
      </w:pPr>
    </w:p>
    <w:p w:rsidR="001E0992" w:rsidRPr="00FC7A12" w:rsidRDefault="001E0992" w:rsidP="00E34D60">
      <w:pPr>
        <w:jc w:val="center"/>
      </w:pPr>
    </w:p>
    <w:p w:rsidR="001E0992" w:rsidRPr="00FC7A12" w:rsidRDefault="001E0992" w:rsidP="00E34D60">
      <w:pPr>
        <w:jc w:val="center"/>
      </w:pPr>
    </w:p>
    <w:p w:rsidR="001E0992" w:rsidRPr="00FC7A12" w:rsidRDefault="001E0992" w:rsidP="00E34D60">
      <w:pPr>
        <w:jc w:val="center"/>
      </w:pPr>
    </w:p>
    <w:p w:rsidR="00FE5CCF" w:rsidRPr="00FC7A12" w:rsidRDefault="006C2F89" w:rsidP="00E34D60">
      <w:pPr>
        <w:jc w:val="center"/>
      </w:pPr>
      <w:r w:rsidRPr="00FC7A12">
        <w:t>Nikšić, februar 2021</w:t>
      </w:r>
      <w:r w:rsidR="00D87232" w:rsidRPr="00FC7A12">
        <w:t>. godine</w:t>
      </w:r>
    </w:p>
    <w:p w:rsidR="001E0992" w:rsidRPr="00FC7A12" w:rsidRDefault="001E0992" w:rsidP="00E34D60">
      <w:pPr>
        <w:jc w:val="center"/>
      </w:pPr>
    </w:p>
    <w:p w:rsidR="001E0992" w:rsidRPr="00FC7A12" w:rsidRDefault="001E0992" w:rsidP="00E34D60">
      <w:pPr>
        <w:pStyle w:val="TOC2"/>
        <w:tabs>
          <w:tab w:val="right" w:leader="dot" w:pos="9062"/>
        </w:tabs>
        <w:rPr>
          <w:b/>
        </w:rPr>
      </w:pPr>
      <w:r w:rsidRPr="00FC7A12">
        <w:rPr>
          <w:b/>
        </w:rPr>
        <w:lastRenderedPageBreak/>
        <w:t xml:space="preserve">SADRŽAJ </w:t>
      </w:r>
    </w:p>
    <w:p w:rsidR="001E0992" w:rsidRPr="00FC7A12" w:rsidRDefault="001E0992" w:rsidP="00E34D60">
      <w:pPr>
        <w:pStyle w:val="TOC2"/>
        <w:tabs>
          <w:tab w:val="right" w:leader="dot" w:pos="9062"/>
        </w:tabs>
      </w:pPr>
    </w:p>
    <w:p w:rsidR="001E0992" w:rsidRPr="00FC7A12" w:rsidRDefault="00232E22" w:rsidP="00E34D60">
      <w:pPr>
        <w:pStyle w:val="TOC2"/>
        <w:tabs>
          <w:tab w:val="right" w:leader="dot" w:pos="9062"/>
        </w:tabs>
        <w:rPr>
          <w:noProof/>
          <w:color w:val="000000" w:themeColor="text1"/>
          <w:lang w:val="en-US" w:eastAsia="en-US"/>
        </w:rPr>
      </w:pPr>
      <w:r w:rsidRPr="00FC7A12">
        <w:rPr>
          <w:color w:val="000000" w:themeColor="text1"/>
        </w:rPr>
        <w:fldChar w:fldCharType="begin"/>
      </w:r>
      <w:r w:rsidR="001E0992" w:rsidRPr="00FC7A12">
        <w:rPr>
          <w:color w:val="000000" w:themeColor="text1"/>
        </w:rPr>
        <w:instrText xml:space="preserve"> TOC \o "1-2" \h \z \u </w:instrText>
      </w:r>
      <w:r w:rsidRPr="00FC7A12">
        <w:rPr>
          <w:color w:val="000000" w:themeColor="text1"/>
        </w:rPr>
        <w:fldChar w:fldCharType="separate"/>
      </w:r>
      <w:hyperlink w:anchor="_Toc390346518" w:history="1">
        <w:r w:rsidR="001E0992" w:rsidRPr="00FC7A12">
          <w:rPr>
            <w:rStyle w:val="Hyperlink"/>
            <w:noProof/>
            <w:color w:val="000000" w:themeColor="text1"/>
          </w:rPr>
          <w:t>UVOD</w:t>
        </w:r>
        <w:r w:rsidR="001E0992" w:rsidRPr="00FC7A12">
          <w:rPr>
            <w:noProof/>
            <w:webHidden/>
            <w:color w:val="000000" w:themeColor="text1"/>
          </w:rPr>
          <w:tab/>
        </w:r>
        <w:r w:rsidR="00BC5926" w:rsidRPr="00FC7A12">
          <w:rPr>
            <w:noProof/>
            <w:webHidden/>
            <w:color w:val="000000" w:themeColor="text1"/>
          </w:rPr>
          <w:t>3</w:t>
        </w:r>
      </w:hyperlink>
    </w:p>
    <w:p w:rsidR="001E0992" w:rsidRPr="00FC7A12" w:rsidRDefault="00471F2D" w:rsidP="00E34D60">
      <w:pPr>
        <w:pStyle w:val="TOC2"/>
        <w:tabs>
          <w:tab w:val="right" w:leader="dot" w:pos="9062"/>
        </w:tabs>
        <w:rPr>
          <w:noProof/>
          <w:color w:val="000000" w:themeColor="text1"/>
          <w:lang w:val="en-US" w:eastAsia="en-US"/>
        </w:rPr>
      </w:pPr>
      <w:hyperlink w:anchor="_Toc390346519" w:history="1">
        <w:r w:rsidR="001E0992" w:rsidRPr="00FC7A12">
          <w:rPr>
            <w:rStyle w:val="Hyperlink"/>
            <w:noProof/>
            <w:color w:val="000000" w:themeColor="text1"/>
          </w:rPr>
          <w:t>NORMATIVNI  POSLOVI</w:t>
        </w:r>
        <w:r w:rsidR="001E0992" w:rsidRPr="00FC7A12">
          <w:rPr>
            <w:noProof/>
            <w:webHidden/>
            <w:color w:val="000000" w:themeColor="text1"/>
          </w:rPr>
          <w:tab/>
        </w:r>
        <w:r w:rsidR="00BC5926" w:rsidRPr="00FC7A12">
          <w:rPr>
            <w:noProof/>
            <w:webHidden/>
            <w:color w:val="000000" w:themeColor="text1"/>
          </w:rPr>
          <w:t>3</w:t>
        </w:r>
      </w:hyperlink>
    </w:p>
    <w:p w:rsidR="001E0992" w:rsidRPr="00FC7A12" w:rsidRDefault="00471F2D" w:rsidP="00E34D60">
      <w:pPr>
        <w:pStyle w:val="TOC2"/>
        <w:tabs>
          <w:tab w:val="right" w:leader="dot" w:pos="9062"/>
        </w:tabs>
        <w:rPr>
          <w:color w:val="000000" w:themeColor="text1"/>
        </w:rPr>
      </w:pPr>
      <w:hyperlink w:anchor="_Toc390346520" w:history="1">
        <w:r w:rsidR="001E0992" w:rsidRPr="00FC7A12">
          <w:rPr>
            <w:rStyle w:val="Hyperlink"/>
            <w:noProof/>
            <w:color w:val="000000" w:themeColor="text1"/>
          </w:rPr>
          <w:t>POSLOVI BUDŽETA</w:t>
        </w:r>
        <w:r w:rsidR="001E0992" w:rsidRPr="00FC7A12">
          <w:rPr>
            <w:noProof/>
            <w:webHidden/>
            <w:color w:val="000000" w:themeColor="text1"/>
          </w:rPr>
          <w:tab/>
        </w:r>
        <w:r w:rsidR="00BC5926" w:rsidRPr="00FC7A12">
          <w:rPr>
            <w:noProof/>
            <w:webHidden/>
            <w:color w:val="000000" w:themeColor="text1"/>
          </w:rPr>
          <w:t>4</w:t>
        </w:r>
      </w:hyperlink>
    </w:p>
    <w:p w:rsidR="001E0992" w:rsidRPr="00FC7A12" w:rsidRDefault="00471F2D" w:rsidP="00E34D60">
      <w:pPr>
        <w:pStyle w:val="TOC2"/>
        <w:tabs>
          <w:tab w:val="right" w:leader="dot" w:pos="9062"/>
        </w:tabs>
        <w:rPr>
          <w:noProof/>
          <w:color w:val="000000" w:themeColor="text1"/>
          <w:lang w:val="en-US" w:eastAsia="en-US"/>
        </w:rPr>
      </w:pPr>
      <w:hyperlink w:anchor="_Toc390346521" w:history="1">
        <w:r w:rsidR="001E0992" w:rsidRPr="00FC7A12">
          <w:rPr>
            <w:rStyle w:val="Hyperlink"/>
            <w:noProof/>
            <w:color w:val="000000" w:themeColor="text1"/>
          </w:rPr>
          <w:t>POSLOVI NA IZGRADNJI I REVITALIZACIJI INFRASTRUKTURE</w:t>
        </w:r>
        <w:r w:rsidR="00D72F91" w:rsidRPr="00FC7A12">
          <w:rPr>
            <w:noProof/>
            <w:webHidden/>
            <w:color w:val="000000" w:themeColor="text1"/>
          </w:rPr>
          <w:t>.......................</w:t>
        </w:r>
        <w:r w:rsidR="00172E5B" w:rsidRPr="00FC7A12">
          <w:rPr>
            <w:noProof/>
            <w:webHidden/>
            <w:color w:val="000000" w:themeColor="text1"/>
          </w:rPr>
          <w:t>....</w:t>
        </w:r>
      </w:hyperlink>
      <w:r w:rsidR="00DA70C6" w:rsidRPr="00FC7A12">
        <w:rPr>
          <w:noProof/>
          <w:color w:val="000000" w:themeColor="text1"/>
        </w:rPr>
        <w:t>1</w:t>
      </w:r>
      <w:r w:rsidR="002F04C1">
        <w:rPr>
          <w:noProof/>
          <w:color w:val="000000" w:themeColor="text1"/>
        </w:rPr>
        <w:t>3</w:t>
      </w:r>
      <w:r w:rsidR="00DA70C6" w:rsidRPr="00FC7A12">
        <w:rPr>
          <w:noProof/>
          <w:color w:val="000000" w:themeColor="text1"/>
          <w:lang w:val="en-US" w:eastAsia="en-US"/>
        </w:rPr>
        <w:t xml:space="preserve"> </w:t>
      </w:r>
    </w:p>
    <w:p w:rsidR="001E0992" w:rsidRPr="00FC7A12" w:rsidRDefault="00471F2D" w:rsidP="00E34D60">
      <w:pPr>
        <w:pStyle w:val="TOC2"/>
        <w:tabs>
          <w:tab w:val="right" w:leader="dot" w:pos="9062"/>
        </w:tabs>
        <w:rPr>
          <w:noProof/>
          <w:color w:val="000000" w:themeColor="text1"/>
          <w:lang w:val="en-US" w:eastAsia="en-US"/>
        </w:rPr>
      </w:pPr>
      <w:hyperlink w:anchor="_Toc390346523" w:history="1">
        <w:r w:rsidR="001E0992" w:rsidRPr="00FC7A12">
          <w:rPr>
            <w:rStyle w:val="Hyperlink"/>
            <w:noProof/>
            <w:color w:val="000000" w:themeColor="text1"/>
          </w:rPr>
          <w:t>LOKALNA UPRAVA-ORGANIZACIJA, FUNKCIONISANJE I NADZOR</w:t>
        </w:r>
        <w:r w:rsidR="00D87232" w:rsidRPr="00FC7A12">
          <w:rPr>
            <w:noProof/>
            <w:webHidden/>
            <w:color w:val="000000" w:themeColor="text1"/>
          </w:rPr>
          <w:t>....................</w:t>
        </w:r>
      </w:hyperlink>
      <w:r w:rsidR="002F04C1">
        <w:rPr>
          <w:noProof/>
          <w:color w:val="000000" w:themeColor="text1"/>
        </w:rPr>
        <w:t>18</w:t>
      </w:r>
      <w:r w:rsidR="00DA70C6" w:rsidRPr="00FC7A12">
        <w:rPr>
          <w:noProof/>
          <w:color w:val="000000" w:themeColor="text1"/>
          <w:lang w:val="en-US" w:eastAsia="en-US"/>
        </w:rPr>
        <w:t xml:space="preserve"> </w:t>
      </w:r>
    </w:p>
    <w:p w:rsidR="001E0992" w:rsidRPr="00FC7A12" w:rsidRDefault="00471F2D" w:rsidP="00E34D60">
      <w:pPr>
        <w:pStyle w:val="TOC2"/>
        <w:tabs>
          <w:tab w:val="right" w:leader="dot" w:pos="9062"/>
        </w:tabs>
        <w:rPr>
          <w:noProof/>
          <w:color w:val="000000" w:themeColor="text1"/>
          <w:lang w:val="en-US" w:eastAsia="en-US"/>
        </w:rPr>
      </w:pPr>
      <w:hyperlink w:anchor="_Toc390346525" w:history="1">
        <w:r w:rsidR="001E0992" w:rsidRPr="00FC7A12">
          <w:rPr>
            <w:rStyle w:val="Hyperlink"/>
            <w:noProof/>
            <w:color w:val="000000" w:themeColor="text1"/>
          </w:rPr>
          <w:t>ODNOSI I SARADNJA</w:t>
        </w:r>
        <w:r w:rsidR="001E0992" w:rsidRPr="00FC7A12">
          <w:rPr>
            <w:noProof/>
            <w:webHidden/>
            <w:color w:val="000000" w:themeColor="text1"/>
          </w:rPr>
          <w:tab/>
        </w:r>
      </w:hyperlink>
      <w:r w:rsidR="00E578F3" w:rsidRPr="00FC7A12">
        <w:rPr>
          <w:noProof/>
          <w:color w:val="000000" w:themeColor="text1"/>
        </w:rPr>
        <w:t>4</w:t>
      </w:r>
      <w:r w:rsidR="00E96F0D" w:rsidRPr="00FC7A12">
        <w:rPr>
          <w:noProof/>
          <w:color w:val="000000" w:themeColor="text1"/>
        </w:rPr>
        <w:t>2</w:t>
      </w:r>
    </w:p>
    <w:p w:rsidR="001E0992" w:rsidRPr="00FC7A12" w:rsidRDefault="00471F2D" w:rsidP="00E34D60">
      <w:pPr>
        <w:pStyle w:val="TOC2"/>
        <w:tabs>
          <w:tab w:val="right" w:leader="dot" w:pos="9062"/>
        </w:tabs>
        <w:rPr>
          <w:noProof/>
          <w:color w:val="000000" w:themeColor="text1"/>
          <w:lang w:val="en-US" w:eastAsia="en-US"/>
        </w:rPr>
      </w:pPr>
      <w:hyperlink w:anchor="_Toc390346526" w:history="1">
        <w:r w:rsidR="001E0992" w:rsidRPr="00FC7A12">
          <w:rPr>
            <w:rStyle w:val="Hyperlink"/>
            <w:noProof/>
            <w:color w:val="000000" w:themeColor="text1"/>
          </w:rPr>
          <w:t>JAVNOST I TRANSPARENTNOST RADA</w:t>
        </w:r>
        <w:r w:rsidR="00E96F0D" w:rsidRPr="00FC7A12">
          <w:rPr>
            <w:noProof/>
            <w:webHidden/>
            <w:color w:val="000000" w:themeColor="text1"/>
          </w:rPr>
          <w:t>.......................................................................</w:t>
        </w:r>
        <w:r w:rsidR="00172E5B" w:rsidRPr="00FC7A12">
          <w:rPr>
            <w:noProof/>
            <w:webHidden/>
            <w:color w:val="000000" w:themeColor="text1"/>
          </w:rPr>
          <w:t>4</w:t>
        </w:r>
      </w:hyperlink>
      <w:r w:rsidR="002F04C1">
        <w:rPr>
          <w:noProof/>
          <w:color w:val="000000" w:themeColor="text1"/>
        </w:rPr>
        <w:t>3</w:t>
      </w:r>
    </w:p>
    <w:p w:rsidR="001E0992" w:rsidRPr="00FC7A12" w:rsidRDefault="00471F2D" w:rsidP="00E34D60">
      <w:pPr>
        <w:pStyle w:val="TOC2"/>
        <w:tabs>
          <w:tab w:val="right" w:leader="dot" w:pos="9062"/>
        </w:tabs>
        <w:rPr>
          <w:noProof/>
          <w:color w:val="000000" w:themeColor="text1"/>
          <w:lang w:val="en-US" w:eastAsia="en-US"/>
        </w:rPr>
      </w:pPr>
      <w:hyperlink w:anchor="_Toc390346527" w:history="1">
        <w:r w:rsidR="001E0992" w:rsidRPr="00FC7A12">
          <w:rPr>
            <w:rStyle w:val="Hyperlink"/>
            <w:noProof/>
            <w:color w:val="000000" w:themeColor="text1"/>
          </w:rPr>
          <w:t>MJERE ZA UNAPREDJENJE RADA ORGANA LOKALNE UPRAVE</w:t>
        </w:r>
        <w:r w:rsidR="00D87232" w:rsidRPr="00FC7A12">
          <w:rPr>
            <w:noProof/>
            <w:webHidden/>
            <w:color w:val="000000" w:themeColor="text1"/>
          </w:rPr>
          <w:t>......................</w:t>
        </w:r>
        <w:r w:rsidR="00E96F0D" w:rsidRPr="00FC7A12">
          <w:rPr>
            <w:noProof/>
            <w:webHidden/>
            <w:color w:val="000000" w:themeColor="text1"/>
          </w:rPr>
          <w:t>.</w:t>
        </w:r>
        <w:r w:rsidR="00D87232" w:rsidRPr="00FC7A12">
          <w:rPr>
            <w:noProof/>
            <w:webHidden/>
            <w:color w:val="000000" w:themeColor="text1"/>
          </w:rPr>
          <w:t>...</w:t>
        </w:r>
        <w:r w:rsidR="003E3D61" w:rsidRPr="00FC7A12">
          <w:rPr>
            <w:noProof/>
            <w:webHidden/>
            <w:color w:val="000000" w:themeColor="text1"/>
          </w:rPr>
          <w:t>4</w:t>
        </w:r>
      </w:hyperlink>
      <w:r w:rsidR="002F04C1">
        <w:rPr>
          <w:color w:val="000000" w:themeColor="text1"/>
        </w:rPr>
        <w:t>3</w:t>
      </w:r>
    </w:p>
    <w:p w:rsidR="001E0992" w:rsidRPr="00FC7A12" w:rsidRDefault="00232E22" w:rsidP="00E34D60">
      <w:pPr>
        <w:jc w:val="both"/>
        <w:rPr>
          <w:color w:val="000000" w:themeColor="text1"/>
        </w:rPr>
      </w:pPr>
      <w:r w:rsidRPr="00FC7A12">
        <w:rPr>
          <w:color w:val="000000" w:themeColor="text1"/>
        </w:rPr>
        <w:fldChar w:fldCharType="end"/>
      </w:r>
    </w:p>
    <w:p w:rsidR="001E0992" w:rsidRPr="00FC7A12" w:rsidRDefault="001E0992" w:rsidP="00E34D60">
      <w:pPr>
        <w:jc w:val="both"/>
      </w:pPr>
    </w:p>
    <w:p w:rsidR="001E0992" w:rsidRPr="00FC7A12" w:rsidRDefault="001E0992" w:rsidP="00E34D60">
      <w:pPr>
        <w:jc w:val="both"/>
      </w:pPr>
    </w:p>
    <w:p w:rsidR="001E0992" w:rsidRPr="00FC7A12" w:rsidRDefault="001E0992" w:rsidP="00E34D60">
      <w:pPr>
        <w:jc w:val="both"/>
      </w:pPr>
    </w:p>
    <w:p w:rsidR="001E0992" w:rsidRPr="00FC7A12" w:rsidRDefault="001E0992" w:rsidP="00E34D60">
      <w:pPr>
        <w:jc w:val="both"/>
      </w:pPr>
    </w:p>
    <w:p w:rsidR="001E0992" w:rsidRPr="00FC7A12" w:rsidRDefault="001E0992" w:rsidP="00E34D60">
      <w:pPr>
        <w:jc w:val="both"/>
      </w:pPr>
    </w:p>
    <w:p w:rsidR="001E0992" w:rsidRPr="00FC7A12" w:rsidRDefault="001E0992" w:rsidP="00E34D60">
      <w:pPr>
        <w:jc w:val="both"/>
      </w:pPr>
    </w:p>
    <w:p w:rsidR="001E0992" w:rsidRPr="00FC7A12" w:rsidRDefault="001E0992" w:rsidP="00E34D60">
      <w:pPr>
        <w:jc w:val="both"/>
      </w:pPr>
    </w:p>
    <w:p w:rsidR="001E0992" w:rsidRPr="00FC7A12" w:rsidRDefault="001E0992" w:rsidP="00E34D60">
      <w:pPr>
        <w:jc w:val="both"/>
      </w:pPr>
    </w:p>
    <w:p w:rsidR="001E0992" w:rsidRPr="00FC7A12" w:rsidRDefault="001E0992" w:rsidP="00E34D60">
      <w:pPr>
        <w:jc w:val="both"/>
      </w:pPr>
    </w:p>
    <w:p w:rsidR="001E0992" w:rsidRPr="00FC7A12" w:rsidRDefault="001E0992" w:rsidP="00E34D60">
      <w:pPr>
        <w:jc w:val="both"/>
      </w:pPr>
    </w:p>
    <w:p w:rsidR="001E0992" w:rsidRPr="00FC7A12" w:rsidRDefault="001E0992" w:rsidP="00E34D60">
      <w:pPr>
        <w:jc w:val="both"/>
      </w:pPr>
    </w:p>
    <w:p w:rsidR="001E0992" w:rsidRPr="00FC7A12" w:rsidRDefault="001E0992" w:rsidP="00E34D60">
      <w:pPr>
        <w:jc w:val="both"/>
      </w:pPr>
    </w:p>
    <w:p w:rsidR="001E0992" w:rsidRPr="00FC7A12" w:rsidRDefault="001E0992" w:rsidP="00E34D60">
      <w:pPr>
        <w:jc w:val="both"/>
      </w:pPr>
    </w:p>
    <w:p w:rsidR="001E0992" w:rsidRPr="00FC7A12" w:rsidRDefault="001E0992" w:rsidP="00E34D60">
      <w:pPr>
        <w:jc w:val="both"/>
      </w:pPr>
    </w:p>
    <w:p w:rsidR="001E0992" w:rsidRPr="00FC7A12" w:rsidRDefault="001E0992" w:rsidP="00E34D60">
      <w:pPr>
        <w:jc w:val="both"/>
      </w:pPr>
    </w:p>
    <w:p w:rsidR="001E0992" w:rsidRPr="00FC7A12" w:rsidRDefault="001E0992" w:rsidP="00E34D60">
      <w:pPr>
        <w:jc w:val="both"/>
      </w:pPr>
    </w:p>
    <w:p w:rsidR="001E0992" w:rsidRPr="00FC7A12" w:rsidRDefault="001E0992" w:rsidP="00E34D60">
      <w:pPr>
        <w:jc w:val="both"/>
      </w:pPr>
    </w:p>
    <w:p w:rsidR="001E0992" w:rsidRPr="00FC7A12" w:rsidRDefault="001E0992" w:rsidP="00E34D60">
      <w:pPr>
        <w:jc w:val="both"/>
      </w:pPr>
    </w:p>
    <w:p w:rsidR="001E0992" w:rsidRPr="00FC7A12" w:rsidRDefault="001E0992" w:rsidP="00E34D60">
      <w:pPr>
        <w:jc w:val="both"/>
      </w:pPr>
    </w:p>
    <w:p w:rsidR="001E0992" w:rsidRPr="00FC7A12" w:rsidRDefault="001E0992" w:rsidP="00E34D60">
      <w:pPr>
        <w:jc w:val="both"/>
      </w:pPr>
    </w:p>
    <w:p w:rsidR="001E0992" w:rsidRPr="00FC7A12" w:rsidRDefault="001E0992" w:rsidP="00E34D60">
      <w:pPr>
        <w:jc w:val="both"/>
      </w:pPr>
    </w:p>
    <w:p w:rsidR="001E0992" w:rsidRPr="00FC7A12" w:rsidRDefault="001E0992" w:rsidP="00E34D60">
      <w:pPr>
        <w:jc w:val="both"/>
      </w:pPr>
    </w:p>
    <w:p w:rsidR="001E0992" w:rsidRPr="00FC7A12" w:rsidRDefault="001E0992" w:rsidP="00E34D60">
      <w:pPr>
        <w:jc w:val="both"/>
      </w:pPr>
    </w:p>
    <w:p w:rsidR="001E0992" w:rsidRPr="00FC7A12" w:rsidRDefault="001E0992" w:rsidP="00E34D60">
      <w:pPr>
        <w:jc w:val="both"/>
      </w:pPr>
    </w:p>
    <w:p w:rsidR="00AD43F3" w:rsidRPr="00FC7A12" w:rsidRDefault="00AD43F3" w:rsidP="00E34D60">
      <w:pPr>
        <w:jc w:val="both"/>
      </w:pPr>
    </w:p>
    <w:p w:rsidR="004E133B" w:rsidRPr="00FC7A12" w:rsidRDefault="004E133B" w:rsidP="00E34D60">
      <w:pPr>
        <w:jc w:val="both"/>
      </w:pPr>
    </w:p>
    <w:p w:rsidR="004E133B" w:rsidRPr="00FC7A12" w:rsidRDefault="004E133B" w:rsidP="00E34D60">
      <w:pPr>
        <w:jc w:val="both"/>
      </w:pPr>
    </w:p>
    <w:p w:rsidR="00E35137" w:rsidRPr="00FC7A12" w:rsidRDefault="00E35137" w:rsidP="00E34D60">
      <w:pPr>
        <w:jc w:val="both"/>
      </w:pPr>
    </w:p>
    <w:p w:rsidR="00E35137" w:rsidRPr="00FC7A12" w:rsidRDefault="00E35137" w:rsidP="00E34D60">
      <w:pPr>
        <w:jc w:val="both"/>
      </w:pPr>
    </w:p>
    <w:p w:rsidR="00E35137" w:rsidRPr="00FC7A12" w:rsidRDefault="00E35137" w:rsidP="00E34D60">
      <w:pPr>
        <w:jc w:val="both"/>
      </w:pPr>
    </w:p>
    <w:p w:rsidR="00E35137" w:rsidRPr="00FC7A12" w:rsidRDefault="00E35137" w:rsidP="00E34D60">
      <w:pPr>
        <w:jc w:val="both"/>
      </w:pPr>
    </w:p>
    <w:p w:rsidR="00E35137" w:rsidRPr="00FC7A12" w:rsidRDefault="00E35137" w:rsidP="00E34D60">
      <w:pPr>
        <w:jc w:val="both"/>
      </w:pPr>
    </w:p>
    <w:p w:rsidR="00E35137" w:rsidRPr="00FC7A12" w:rsidRDefault="00E35137" w:rsidP="00E34D60">
      <w:pPr>
        <w:jc w:val="both"/>
      </w:pPr>
    </w:p>
    <w:p w:rsidR="001E0992" w:rsidRPr="00FC7A12" w:rsidRDefault="00E35137" w:rsidP="00E35137">
      <w:pPr>
        <w:tabs>
          <w:tab w:val="left" w:pos="7699"/>
        </w:tabs>
        <w:jc w:val="both"/>
      </w:pPr>
      <w:r w:rsidRPr="00FC7A12">
        <w:tab/>
      </w:r>
    </w:p>
    <w:p w:rsidR="001E0992" w:rsidRPr="00FC7A12" w:rsidRDefault="001E0992" w:rsidP="00E34D60">
      <w:pPr>
        <w:pStyle w:val="Heading2"/>
        <w:rPr>
          <w:rFonts w:ascii="Times New Roman" w:hAnsi="Times New Roman" w:cs="Times New Roman"/>
          <w:color w:val="0070C0"/>
          <w:sz w:val="24"/>
          <w:szCs w:val="24"/>
        </w:rPr>
      </w:pPr>
      <w:bookmarkStart w:id="0" w:name="_Toc390346518"/>
      <w:r w:rsidRPr="00FC7A12">
        <w:rPr>
          <w:rFonts w:ascii="Times New Roman" w:hAnsi="Times New Roman" w:cs="Times New Roman"/>
          <w:color w:val="0070C0"/>
          <w:sz w:val="24"/>
          <w:szCs w:val="24"/>
        </w:rPr>
        <w:lastRenderedPageBreak/>
        <w:t>UVOD</w:t>
      </w:r>
      <w:bookmarkEnd w:id="0"/>
    </w:p>
    <w:p w:rsidR="001E0992" w:rsidRPr="00FC7A12" w:rsidRDefault="001E0992" w:rsidP="00E34D60">
      <w:pPr>
        <w:jc w:val="both"/>
      </w:pPr>
    </w:p>
    <w:p w:rsidR="001E0992" w:rsidRPr="00FC7A12" w:rsidRDefault="001E0992" w:rsidP="00E34D60">
      <w:pPr>
        <w:jc w:val="both"/>
      </w:pPr>
      <w:r w:rsidRPr="00FC7A12">
        <w:t xml:space="preserve">    </w:t>
      </w:r>
    </w:p>
    <w:p w:rsidR="001E0992" w:rsidRPr="00FC7A12" w:rsidRDefault="001E0992" w:rsidP="00E34D60">
      <w:pPr>
        <w:jc w:val="both"/>
        <w:rPr>
          <w:color w:val="000000" w:themeColor="text1"/>
        </w:rPr>
      </w:pPr>
      <w:r w:rsidRPr="00FC7A12">
        <w:t xml:space="preserve">     </w:t>
      </w:r>
      <w:r w:rsidRPr="00FC7A12">
        <w:tab/>
      </w:r>
      <w:r w:rsidR="00871F08" w:rsidRPr="00FC7A12">
        <w:t>Izvještaj o radu predsjednika Opštine i radu organa</w:t>
      </w:r>
      <w:r w:rsidR="006C2F89" w:rsidRPr="00FC7A12">
        <w:t xml:space="preserve"> lokalne uprave i službi za 2020</w:t>
      </w:r>
      <w:r w:rsidR="00871F08" w:rsidRPr="00FC7A12">
        <w:t>. godinu urađen je u skladu sa</w:t>
      </w:r>
      <w:r w:rsidR="0033223B" w:rsidRPr="00FC7A12">
        <w:t xml:space="preserve"> članom 58</w:t>
      </w:r>
      <w:r w:rsidR="00BE5E5D" w:rsidRPr="00FC7A12">
        <w:t xml:space="preserve"> </w:t>
      </w:r>
      <w:r w:rsidR="00871F08" w:rsidRPr="00FC7A12">
        <w:t xml:space="preserve"> </w:t>
      </w:r>
      <w:r w:rsidR="001F2440" w:rsidRPr="00FC7A12">
        <w:t xml:space="preserve"> stav 1 tačka 12 </w:t>
      </w:r>
      <w:r w:rsidR="00871F08" w:rsidRPr="00FC7A12">
        <w:t>Zakona</w:t>
      </w:r>
      <w:r w:rsidRPr="00FC7A12">
        <w:t xml:space="preserve"> o lokalnoj samoupravi</w:t>
      </w:r>
      <w:r w:rsidR="00871F08" w:rsidRPr="00FC7A12">
        <w:t xml:space="preserve"> </w:t>
      </w:r>
      <w:r w:rsidR="001F2440" w:rsidRPr="00FC7A12">
        <w:t>i članom 83 stav 1 tačka 12 Statuta Opštine koji propisuju i utvrđuju</w:t>
      </w:r>
      <w:r w:rsidR="00871F08" w:rsidRPr="00FC7A12">
        <w:t xml:space="preserve"> obaveze nosioca izvršne funkcije, odnosno predsjednika Opštine</w:t>
      </w:r>
      <w:r w:rsidR="00DA59D2" w:rsidRPr="00FC7A12">
        <w:t>,</w:t>
      </w:r>
      <w:r w:rsidR="00871F08" w:rsidRPr="00FC7A12">
        <w:t xml:space="preserve"> </w:t>
      </w:r>
      <w:r w:rsidRPr="00FC7A12">
        <w:t xml:space="preserve">da </w:t>
      </w:r>
      <w:r w:rsidR="00DA59D2" w:rsidRPr="00FC7A12">
        <w:t xml:space="preserve">jednom </w:t>
      </w:r>
      <w:r w:rsidRPr="00FC7A12">
        <w:t xml:space="preserve">godišnje podnosi Skupštini </w:t>
      </w:r>
      <w:r w:rsidR="00871F08" w:rsidRPr="00FC7A12">
        <w:t xml:space="preserve">Opštine </w:t>
      </w:r>
      <w:r w:rsidRPr="00FC7A12">
        <w:t xml:space="preserve">i gradjanima izvještaj o </w:t>
      </w:r>
      <w:r w:rsidR="00871F08" w:rsidRPr="00FC7A12">
        <w:t xml:space="preserve">svom </w:t>
      </w:r>
      <w:r w:rsidRPr="00FC7A12">
        <w:t xml:space="preserve">i </w:t>
      </w:r>
      <w:r w:rsidR="005A700A" w:rsidRPr="00FC7A12">
        <w:t xml:space="preserve">radu organa </w:t>
      </w:r>
      <w:r w:rsidRPr="00FC7A12">
        <w:t>lokalne  uprave</w:t>
      </w:r>
      <w:r w:rsidR="005A700A" w:rsidRPr="00FC7A12">
        <w:t xml:space="preserve"> i službi</w:t>
      </w:r>
      <w:r w:rsidR="00871F08" w:rsidRPr="00FC7A12">
        <w:t xml:space="preserve">. U skladu sa tim  </w:t>
      </w:r>
      <w:r w:rsidR="00DF6FF7" w:rsidRPr="00FC7A12">
        <w:t xml:space="preserve">pripremljen je </w:t>
      </w:r>
      <w:r w:rsidRPr="00FC7A12">
        <w:t xml:space="preserve">predmetni materijal koji na sažet način daje presjek aktivnosti i rada predsjednika Opštine, sa osvrtom na ključna pitanja koja se odnose na funkcionisanje </w:t>
      </w:r>
      <w:r w:rsidRPr="00FC7A12">
        <w:rPr>
          <w:color w:val="000000" w:themeColor="text1"/>
        </w:rPr>
        <w:t>lokalne samouprave i ostvarivanje javnog interesa u opštini.</w:t>
      </w:r>
    </w:p>
    <w:p w:rsidR="001E0992" w:rsidRPr="00FC7A12" w:rsidRDefault="001E0992" w:rsidP="00E34D60">
      <w:pPr>
        <w:jc w:val="both"/>
      </w:pPr>
      <w:r w:rsidRPr="00FC7A12">
        <w:t xml:space="preserve">    </w:t>
      </w:r>
      <w:r w:rsidRPr="00FC7A12">
        <w:tab/>
        <w:t>Prije prist</w:t>
      </w:r>
      <w:r w:rsidR="006C2F89" w:rsidRPr="00FC7A12">
        <w:t>upanja izradi izvještaja za 2020</w:t>
      </w:r>
      <w:r w:rsidRPr="00FC7A12">
        <w:t>. godinu, predsjednik Opštine je razmatrao izvještaje o radu organa lokalne uprave, tako da se kroz ovaj materijal  na potpun i sveobuhvatan način može sagledati funkcionisanje lokalne samouprave u svim njenim segmentima</w:t>
      </w:r>
      <w:r w:rsidR="00871F08" w:rsidRPr="00FC7A12">
        <w:t xml:space="preserve"> i sadrži objedinjene informacije i podatke o radu predsjednika, realizovanim zadacima i aktivnostim</w:t>
      </w:r>
      <w:r w:rsidR="006C2F89" w:rsidRPr="00FC7A12">
        <w:t>a organa i službi u 2020</w:t>
      </w:r>
      <w:r w:rsidR="00871F08" w:rsidRPr="00FC7A12">
        <w:t>. godini, stanju u pojedinim upravnim oblastima, pregledu upravnih postupaka kod organa lokalne uprave, realizovane aktivnosti proistekle iz državnih i lokalnih strateških dokumenat</w:t>
      </w:r>
      <w:r w:rsidR="00097F6C" w:rsidRPr="00FC7A12">
        <w:t>a</w:t>
      </w:r>
      <w:r w:rsidR="00871F08" w:rsidRPr="00FC7A12">
        <w:t xml:space="preserve">  itd.</w:t>
      </w:r>
    </w:p>
    <w:p w:rsidR="001E0992" w:rsidRPr="00FC7A12" w:rsidRDefault="001E0992" w:rsidP="00E34D60">
      <w:pPr>
        <w:jc w:val="both"/>
        <w:rPr>
          <w:b/>
          <w:i/>
        </w:rPr>
      </w:pPr>
      <w:r w:rsidRPr="00FC7A12">
        <w:rPr>
          <w:b/>
          <w:i/>
        </w:rPr>
        <w:tab/>
      </w:r>
    </w:p>
    <w:p w:rsidR="001E0992" w:rsidRPr="00FC7A12" w:rsidRDefault="00BF0FC2" w:rsidP="00E34D60">
      <w:pPr>
        <w:ind w:firstLine="708"/>
        <w:jc w:val="both"/>
      </w:pPr>
      <w:r w:rsidRPr="00FC7A12">
        <w:t>Rad</w:t>
      </w:r>
      <w:r w:rsidR="001E0992" w:rsidRPr="00FC7A12">
        <w:t xml:space="preserve"> predsjednika Opštine bio je usmjeren na ostvarivanje poslova u okviru normativne, izvršne, nadzorne, organizacione  i protokolarne   funkcije.</w:t>
      </w:r>
    </w:p>
    <w:p w:rsidR="001E0992" w:rsidRPr="00FC7A12" w:rsidRDefault="001E0992" w:rsidP="00E34D60">
      <w:pPr>
        <w:jc w:val="both"/>
      </w:pPr>
    </w:p>
    <w:p w:rsidR="001E0992" w:rsidRPr="00FC7A12" w:rsidRDefault="001E0992" w:rsidP="00E34D60">
      <w:pPr>
        <w:jc w:val="both"/>
      </w:pPr>
      <w:r w:rsidRPr="00FC7A12">
        <w:t xml:space="preserve">    </w:t>
      </w:r>
      <w:r w:rsidRPr="00FC7A12">
        <w:tab/>
        <w:t>Izvještaj je tematski koncipiran po sljedećim segmentima:</w:t>
      </w:r>
    </w:p>
    <w:p w:rsidR="001E0992" w:rsidRPr="00FC7A12" w:rsidRDefault="001E0992" w:rsidP="00E34D60">
      <w:pPr>
        <w:jc w:val="both"/>
      </w:pPr>
    </w:p>
    <w:p w:rsidR="001E0992" w:rsidRPr="00FC7A12" w:rsidRDefault="001E0992" w:rsidP="00E34D60">
      <w:pPr>
        <w:numPr>
          <w:ilvl w:val="0"/>
          <w:numId w:val="2"/>
        </w:numPr>
        <w:jc w:val="both"/>
      </w:pPr>
      <w:r w:rsidRPr="00FC7A12">
        <w:t>normativni poslovi</w:t>
      </w:r>
    </w:p>
    <w:p w:rsidR="001E0992" w:rsidRPr="00FC7A12" w:rsidRDefault="001E0992" w:rsidP="00E34D60">
      <w:pPr>
        <w:numPr>
          <w:ilvl w:val="0"/>
          <w:numId w:val="2"/>
        </w:numPr>
        <w:jc w:val="both"/>
      </w:pPr>
      <w:r w:rsidRPr="00FC7A12">
        <w:t>poslovi budžeta</w:t>
      </w:r>
    </w:p>
    <w:p w:rsidR="001E0992" w:rsidRPr="00FC7A12" w:rsidRDefault="001E0992" w:rsidP="00E34D60">
      <w:pPr>
        <w:numPr>
          <w:ilvl w:val="0"/>
          <w:numId w:val="2"/>
        </w:numPr>
        <w:jc w:val="both"/>
      </w:pPr>
      <w:r w:rsidRPr="00FC7A12">
        <w:t>poslovi na izgradnji i revitalizaciji infrastrukture</w:t>
      </w:r>
    </w:p>
    <w:p w:rsidR="001E0992" w:rsidRPr="00FC7A12" w:rsidRDefault="001E0992" w:rsidP="00E34D60">
      <w:pPr>
        <w:numPr>
          <w:ilvl w:val="0"/>
          <w:numId w:val="2"/>
        </w:numPr>
        <w:jc w:val="both"/>
      </w:pPr>
      <w:r w:rsidRPr="00FC7A12">
        <w:t>lokalna uprava-organizacija,</w:t>
      </w:r>
      <w:r w:rsidR="00DA59D2" w:rsidRPr="00FC7A12">
        <w:t xml:space="preserve"> </w:t>
      </w:r>
      <w:r w:rsidRPr="00FC7A12">
        <w:t>funkcionisanje  i nadzor</w:t>
      </w:r>
    </w:p>
    <w:p w:rsidR="001E0992" w:rsidRPr="00FC7A12" w:rsidRDefault="001E0992" w:rsidP="00E34D60">
      <w:pPr>
        <w:numPr>
          <w:ilvl w:val="0"/>
          <w:numId w:val="2"/>
        </w:numPr>
        <w:jc w:val="both"/>
      </w:pPr>
      <w:r w:rsidRPr="00FC7A12">
        <w:t>odnosi i saradnja</w:t>
      </w:r>
    </w:p>
    <w:p w:rsidR="001E0992" w:rsidRPr="00FC7A12" w:rsidRDefault="001E0992" w:rsidP="00E34D60">
      <w:pPr>
        <w:numPr>
          <w:ilvl w:val="0"/>
          <w:numId w:val="2"/>
        </w:numPr>
        <w:jc w:val="both"/>
      </w:pPr>
      <w:r w:rsidRPr="00FC7A12">
        <w:t>javnost i transparentnost</w:t>
      </w:r>
    </w:p>
    <w:p w:rsidR="001E0992" w:rsidRPr="00FC7A12" w:rsidRDefault="001E0992" w:rsidP="00E34D60">
      <w:pPr>
        <w:numPr>
          <w:ilvl w:val="0"/>
          <w:numId w:val="2"/>
        </w:numPr>
        <w:jc w:val="both"/>
      </w:pPr>
      <w:r w:rsidRPr="00FC7A12">
        <w:t>mjere za unapredjenje rada organa lokalne uprave</w:t>
      </w:r>
    </w:p>
    <w:p w:rsidR="001E0992" w:rsidRPr="00FC7A12" w:rsidRDefault="001E0992" w:rsidP="00E34D60">
      <w:pPr>
        <w:jc w:val="both"/>
        <w:rPr>
          <w:u w:val="single"/>
        </w:rPr>
      </w:pPr>
    </w:p>
    <w:p w:rsidR="001E0992" w:rsidRPr="00FC7A12" w:rsidRDefault="001E0992" w:rsidP="00E34D60">
      <w:pPr>
        <w:pStyle w:val="Heading2"/>
        <w:rPr>
          <w:rFonts w:ascii="Times New Roman" w:hAnsi="Times New Roman" w:cs="Times New Roman"/>
          <w:color w:val="0070C0"/>
          <w:sz w:val="24"/>
          <w:szCs w:val="24"/>
        </w:rPr>
      </w:pPr>
      <w:bookmarkStart w:id="1" w:name="_Toc390346519"/>
      <w:r w:rsidRPr="00FC7A12">
        <w:rPr>
          <w:rFonts w:ascii="Times New Roman" w:hAnsi="Times New Roman" w:cs="Times New Roman"/>
          <w:color w:val="0070C0"/>
          <w:sz w:val="24"/>
          <w:szCs w:val="24"/>
        </w:rPr>
        <w:t>NORMATIVNI  POSLOVI</w:t>
      </w:r>
      <w:bookmarkEnd w:id="1"/>
    </w:p>
    <w:p w:rsidR="001E0992" w:rsidRPr="00FC7A12" w:rsidRDefault="001E0992" w:rsidP="00E34D60">
      <w:pPr>
        <w:jc w:val="both"/>
        <w:rPr>
          <w:color w:val="FF0000"/>
        </w:rPr>
      </w:pPr>
    </w:p>
    <w:p w:rsidR="001E0992" w:rsidRPr="00FC7A12" w:rsidRDefault="001E0992" w:rsidP="00E34D60">
      <w:pPr>
        <w:jc w:val="both"/>
        <w:rPr>
          <w:color w:val="000000" w:themeColor="text1"/>
        </w:rPr>
      </w:pPr>
      <w:r w:rsidRPr="00FC7A12">
        <w:rPr>
          <w:color w:val="FF0000"/>
        </w:rPr>
        <w:t xml:space="preserve">    </w:t>
      </w:r>
      <w:r w:rsidRPr="00FC7A12">
        <w:rPr>
          <w:color w:val="000000" w:themeColor="text1"/>
        </w:rPr>
        <w:tab/>
        <w:t>Kroz predlaganje  odluka, pro</w:t>
      </w:r>
      <w:r w:rsidR="00DA59D2" w:rsidRPr="00FC7A12">
        <w:rPr>
          <w:color w:val="000000" w:themeColor="text1"/>
        </w:rPr>
        <w:t>grama i drugih akata Skupštini O</w:t>
      </w:r>
      <w:r w:rsidRPr="00FC7A12">
        <w:rPr>
          <w:color w:val="000000" w:themeColor="text1"/>
        </w:rPr>
        <w:t xml:space="preserve">pštine, koji su bili preduslov za ostvarivanje funkcije lokalne uprave i samouprave, vršena je normativno pravna funkcija predsjednika Opštine u </w:t>
      </w:r>
      <w:r w:rsidR="006C2F89" w:rsidRPr="00FC7A12">
        <w:rPr>
          <w:color w:val="000000" w:themeColor="text1"/>
        </w:rPr>
        <w:t>2020</w:t>
      </w:r>
      <w:r w:rsidRPr="00FC7A12">
        <w:rPr>
          <w:color w:val="000000" w:themeColor="text1"/>
        </w:rPr>
        <w:t>. godini.</w:t>
      </w:r>
      <w:r w:rsidR="00871F08" w:rsidRPr="00FC7A12">
        <w:rPr>
          <w:color w:val="000000" w:themeColor="text1"/>
        </w:rPr>
        <w:t xml:space="preserve"> </w:t>
      </w:r>
      <w:r w:rsidR="006C2F89" w:rsidRPr="00FC7A12">
        <w:rPr>
          <w:color w:val="000000" w:themeColor="text1"/>
        </w:rPr>
        <w:t>Inače, Skupština Opštine u 2020</w:t>
      </w:r>
      <w:r w:rsidR="00871F08" w:rsidRPr="00FC7A12">
        <w:rPr>
          <w:color w:val="000000" w:themeColor="text1"/>
        </w:rPr>
        <w:t xml:space="preserve">. godini zasjedala je </w:t>
      </w:r>
      <w:r w:rsidR="006C2F89" w:rsidRPr="00FC7A12">
        <w:rPr>
          <w:color w:val="000000" w:themeColor="text1"/>
        </w:rPr>
        <w:t>7</w:t>
      </w:r>
      <w:r w:rsidR="002E24DD" w:rsidRPr="00FC7A12">
        <w:rPr>
          <w:color w:val="000000" w:themeColor="text1"/>
        </w:rPr>
        <w:t xml:space="preserve"> puta</w:t>
      </w:r>
      <w:r w:rsidR="006C2F89" w:rsidRPr="00FC7A12">
        <w:rPr>
          <w:color w:val="000000" w:themeColor="text1"/>
        </w:rPr>
        <w:t xml:space="preserve"> </w:t>
      </w:r>
      <w:r w:rsidR="006C2F89" w:rsidRPr="00FC7A12">
        <w:rPr>
          <w:color w:val="000000" w:themeColor="text1"/>
          <w:lang w:val="sr-Latn-ME"/>
        </w:rPr>
        <w:t>(6 radnih i jedna svečana</w:t>
      </w:r>
      <w:r w:rsidR="00C06A3C">
        <w:rPr>
          <w:color w:val="000000" w:themeColor="text1"/>
          <w:lang w:val="sr-Latn-ME"/>
        </w:rPr>
        <w:t xml:space="preserve"> sjednica</w:t>
      </w:r>
      <w:r w:rsidR="006C2F89" w:rsidRPr="00FC7A12">
        <w:rPr>
          <w:color w:val="000000" w:themeColor="text1"/>
          <w:lang w:val="sr-Latn-ME"/>
        </w:rPr>
        <w:t xml:space="preserve">) </w:t>
      </w:r>
      <w:r w:rsidR="002E24DD" w:rsidRPr="00FC7A12">
        <w:rPr>
          <w:color w:val="000000" w:themeColor="text1"/>
        </w:rPr>
        <w:t xml:space="preserve"> i razmatrala </w:t>
      </w:r>
      <w:r w:rsidR="00C06A3C">
        <w:rPr>
          <w:color w:val="000000" w:themeColor="text1"/>
        </w:rPr>
        <w:t>je 74 tačake</w:t>
      </w:r>
      <w:r w:rsidR="00871F08" w:rsidRPr="00FC7A12">
        <w:rPr>
          <w:color w:val="000000" w:themeColor="text1"/>
        </w:rPr>
        <w:t>.</w:t>
      </w:r>
    </w:p>
    <w:p w:rsidR="001E0992" w:rsidRPr="00FC7A12" w:rsidRDefault="001E0992" w:rsidP="00E34D60">
      <w:pPr>
        <w:jc w:val="both"/>
      </w:pPr>
    </w:p>
    <w:p w:rsidR="001E0992" w:rsidRPr="00FC7A12" w:rsidRDefault="001E0992" w:rsidP="00E34D60">
      <w:pPr>
        <w:jc w:val="both"/>
      </w:pPr>
      <w:r w:rsidRPr="00FC7A12">
        <w:t xml:space="preserve">     </w:t>
      </w:r>
      <w:r w:rsidRPr="00FC7A12">
        <w:tab/>
        <w:t xml:space="preserve">U </w:t>
      </w:r>
      <w:r w:rsidR="0033223B" w:rsidRPr="00FC7A12">
        <w:t>s</w:t>
      </w:r>
      <w:r w:rsidR="006C2F89" w:rsidRPr="00FC7A12">
        <w:t>kladu sa Programom rada za 2020</w:t>
      </w:r>
      <w:r w:rsidRPr="00FC7A12">
        <w:t>. godinu, predsjednik Opštine predlagao je sljedeće propise:</w:t>
      </w:r>
    </w:p>
    <w:p w:rsidR="001E0992" w:rsidRPr="00FC7A12" w:rsidRDefault="001E0992" w:rsidP="00E34D60">
      <w:pPr>
        <w:jc w:val="both"/>
      </w:pPr>
      <w:r w:rsidRPr="00FC7A12">
        <w:t xml:space="preserve"> </w:t>
      </w:r>
    </w:p>
    <w:p w:rsidR="001E0992" w:rsidRPr="00FC7A12" w:rsidRDefault="001E0992" w:rsidP="00E34D60">
      <w:pPr>
        <w:numPr>
          <w:ilvl w:val="0"/>
          <w:numId w:val="1"/>
        </w:numPr>
        <w:jc w:val="both"/>
      </w:pPr>
      <w:r w:rsidRPr="00FC7A12">
        <w:t>Usaglašavanje propisa na lokalnom nivou sa zakonima i drugim aktima</w:t>
      </w:r>
    </w:p>
    <w:p w:rsidR="001E0992" w:rsidRPr="00FC7A12" w:rsidRDefault="001E0992" w:rsidP="00E34D60">
      <w:pPr>
        <w:numPr>
          <w:ilvl w:val="0"/>
          <w:numId w:val="1"/>
        </w:numPr>
        <w:jc w:val="both"/>
      </w:pPr>
      <w:r w:rsidRPr="00FC7A12">
        <w:t>Prijedloge odluka iz oblasti javnih prihoda i finansija</w:t>
      </w:r>
    </w:p>
    <w:p w:rsidR="001E0992" w:rsidRPr="00FC7A12" w:rsidRDefault="001E0992" w:rsidP="00E34D60">
      <w:pPr>
        <w:numPr>
          <w:ilvl w:val="0"/>
          <w:numId w:val="1"/>
        </w:numPr>
        <w:jc w:val="both"/>
      </w:pPr>
      <w:r w:rsidRPr="00FC7A12">
        <w:t>Prijedloge odluka o gradskom gradjevinskom zemljištu</w:t>
      </w:r>
    </w:p>
    <w:p w:rsidR="001E0992" w:rsidRPr="00FC7A12" w:rsidRDefault="001E0992" w:rsidP="00E34D60">
      <w:pPr>
        <w:numPr>
          <w:ilvl w:val="0"/>
          <w:numId w:val="1"/>
        </w:numPr>
        <w:jc w:val="both"/>
      </w:pPr>
      <w:r w:rsidRPr="00FC7A12">
        <w:t>Prijedloge odluka o donošenju detaljnih urbanističkih planova u opštini Nikšić</w:t>
      </w:r>
      <w:r w:rsidR="00097F6C" w:rsidRPr="00FC7A12">
        <w:t xml:space="preserve"> itd.</w:t>
      </w:r>
    </w:p>
    <w:p w:rsidR="001E0992" w:rsidRPr="00FC7A12" w:rsidRDefault="001E0992" w:rsidP="00E34D60">
      <w:pPr>
        <w:jc w:val="both"/>
      </w:pPr>
      <w:r w:rsidRPr="00FC7A12">
        <w:lastRenderedPageBreak/>
        <w:tab/>
      </w:r>
    </w:p>
    <w:p w:rsidR="001E0992" w:rsidRPr="00FC7A12" w:rsidRDefault="001E0992" w:rsidP="00E34D60">
      <w:pPr>
        <w:ind w:firstLine="360"/>
        <w:jc w:val="both"/>
      </w:pPr>
      <w:r w:rsidRPr="00FC7A12">
        <w:t xml:space="preserve">  Predsjednik Opštine je u okviru poslova izvršne funkcije, zavisno od konkretne situacije i potreba, donosio odluke, uputstva, pravilnike, naredbe, rješenja i zaključke za izvršenje poslova iz nadležnosti lokalne samouprave i izvršenje prenesenih i povjerenih poslova.</w:t>
      </w:r>
    </w:p>
    <w:p w:rsidR="001E0992" w:rsidRPr="00FC7A12" w:rsidRDefault="001E0992" w:rsidP="00E34D60">
      <w:pPr>
        <w:jc w:val="both"/>
      </w:pPr>
    </w:p>
    <w:p w:rsidR="001E0992" w:rsidRPr="00FC7A12" w:rsidRDefault="001E0992" w:rsidP="00E34D60">
      <w:pPr>
        <w:pStyle w:val="Heading2"/>
        <w:rPr>
          <w:rFonts w:ascii="Times New Roman" w:hAnsi="Times New Roman" w:cs="Times New Roman"/>
          <w:color w:val="0070C0"/>
          <w:sz w:val="24"/>
          <w:szCs w:val="24"/>
        </w:rPr>
      </w:pPr>
      <w:bookmarkStart w:id="2" w:name="_Toc390346520"/>
      <w:r w:rsidRPr="00FC7A12">
        <w:rPr>
          <w:rFonts w:ascii="Times New Roman" w:hAnsi="Times New Roman" w:cs="Times New Roman"/>
          <w:color w:val="0070C0"/>
          <w:sz w:val="24"/>
          <w:szCs w:val="24"/>
        </w:rPr>
        <w:t>POSLOVI BUDŽETA</w:t>
      </w:r>
      <w:bookmarkEnd w:id="2"/>
    </w:p>
    <w:p w:rsidR="0041746C" w:rsidRPr="00FC7A12" w:rsidRDefault="0041746C" w:rsidP="00E34D60"/>
    <w:p w:rsidR="00C278FE" w:rsidRPr="00FC7A12" w:rsidRDefault="00C278FE" w:rsidP="00E34D60">
      <w:pPr>
        <w:ind w:firstLine="540"/>
        <w:jc w:val="both"/>
      </w:pPr>
      <w:r w:rsidRPr="00FC7A12">
        <w:t xml:space="preserve">Odlukom </w:t>
      </w:r>
      <w:r w:rsidR="004D4E8A" w:rsidRPr="00FC7A12">
        <w:t>o budžetu Opštine Nikšić za 2020</w:t>
      </w:r>
      <w:r w:rsidRPr="00FC7A12">
        <w:t>. godinu planiran</w:t>
      </w:r>
      <w:r w:rsidR="004D4E8A" w:rsidRPr="00FC7A12">
        <w:t>a su sredstva u visini od 23.960</w:t>
      </w:r>
      <w:r w:rsidRPr="00FC7A12">
        <w:t xml:space="preserve">.000,00 €. </w:t>
      </w:r>
    </w:p>
    <w:p w:rsidR="00C278FE" w:rsidRPr="00FC7A12" w:rsidRDefault="00C278FE" w:rsidP="00E34D60">
      <w:pPr>
        <w:jc w:val="both"/>
      </w:pPr>
      <w:r w:rsidRPr="00FC7A12">
        <w:t xml:space="preserve">      </w:t>
      </w:r>
      <w:r w:rsidR="004D4E8A" w:rsidRPr="00FC7A12">
        <w:t xml:space="preserve"> Na kraju 2020</w:t>
      </w:r>
      <w:r w:rsidR="00305A7E" w:rsidRPr="00FC7A12">
        <w:t xml:space="preserve">.godine, ostvaren je  prihod od  </w:t>
      </w:r>
      <w:r w:rsidR="004D4E8A" w:rsidRPr="00FC7A12">
        <w:t xml:space="preserve">25.240.301,75 €  ili  105,34 </w:t>
      </w:r>
      <w:r w:rsidRPr="00FC7A12">
        <w:t xml:space="preserve">%. </w:t>
      </w:r>
    </w:p>
    <w:p w:rsidR="00C278FE" w:rsidRPr="00FC7A12" w:rsidRDefault="00C278FE" w:rsidP="00E34D60">
      <w:pPr>
        <w:jc w:val="both"/>
      </w:pPr>
    </w:p>
    <w:p w:rsidR="00D1637F" w:rsidRPr="00FC7A12" w:rsidRDefault="00D1637F" w:rsidP="00D1637F">
      <w:pPr>
        <w:jc w:val="both"/>
      </w:pPr>
      <w:r w:rsidRPr="00FC7A12">
        <w:t xml:space="preserve">  Odnos ostvarenih prihoda u odnosu na plan je sledeći:</w:t>
      </w:r>
    </w:p>
    <w:p w:rsidR="00D1637F" w:rsidRPr="00FC7A12" w:rsidRDefault="00D1637F" w:rsidP="00D1637F">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7"/>
        <w:gridCol w:w="2371"/>
        <w:gridCol w:w="2535"/>
        <w:gridCol w:w="1415"/>
      </w:tblGrid>
      <w:tr w:rsidR="00D1637F" w:rsidRPr="00FC7A12" w:rsidTr="0099464F">
        <w:trPr>
          <w:trHeight w:val="532"/>
        </w:trPr>
        <w:tc>
          <w:tcPr>
            <w:tcW w:w="3407" w:type="dxa"/>
          </w:tcPr>
          <w:p w:rsidR="00D1637F" w:rsidRPr="00FC7A12" w:rsidRDefault="00D1637F" w:rsidP="0099464F">
            <w:pPr>
              <w:jc w:val="center"/>
              <w:rPr>
                <w:b/>
              </w:rPr>
            </w:pPr>
            <w:r w:rsidRPr="00FC7A12">
              <w:rPr>
                <w:b/>
              </w:rPr>
              <w:t>Prihodi</w:t>
            </w:r>
          </w:p>
        </w:tc>
        <w:tc>
          <w:tcPr>
            <w:tcW w:w="2371" w:type="dxa"/>
          </w:tcPr>
          <w:p w:rsidR="00D1637F" w:rsidRPr="00FC7A12" w:rsidRDefault="00D1637F" w:rsidP="0099464F">
            <w:pPr>
              <w:jc w:val="center"/>
              <w:rPr>
                <w:b/>
              </w:rPr>
            </w:pPr>
            <w:r w:rsidRPr="00FC7A12">
              <w:rPr>
                <w:b/>
              </w:rPr>
              <w:t>Plan 2020.</w:t>
            </w:r>
          </w:p>
        </w:tc>
        <w:tc>
          <w:tcPr>
            <w:tcW w:w="2535" w:type="dxa"/>
          </w:tcPr>
          <w:p w:rsidR="00D1637F" w:rsidRPr="00FC7A12" w:rsidRDefault="00D1637F" w:rsidP="0099464F">
            <w:pPr>
              <w:jc w:val="center"/>
              <w:rPr>
                <w:b/>
              </w:rPr>
            </w:pPr>
            <w:r w:rsidRPr="00FC7A12">
              <w:rPr>
                <w:b/>
              </w:rPr>
              <w:t>Ostvareno 2020.</w:t>
            </w:r>
          </w:p>
        </w:tc>
        <w:tc>
          <w:tcPr>
            <w:tcW w:w="1415" w:type="dxa"/>
          </w:tcPr>
          <w:p w:rsidR="00D1637F" w:rsidRPr="00FC7A12" w:rsidRDefault="00D1637F" w:rsidP="0099464F">
            <w:pPr>
              <w:jc w:val="center"/>
              <w:rPr>
                <w:b/>
              </w:rPr>
            </w:pPr>
            <w:r w:rsidRPr="00FC7A12">
              <w:rPr>
                <w:b/>
              </w:rPr>
              <w:t>Procenat</w:t>
            </w:r>
          </w:p>
        </w:tc>
      </w:tr>
      <w:tr w:rsidR="00D1637F" w:rsidRPr="00FC7A12" w:rsidTr="0099464F">
        <w:trPr>
          <w:trHeight w:val="409"/>
        </w:trPr>
        <w:tc>
          <w:tcPr>
            <w:tcW w:w="3407" w:type="dxa"/>
          </w:tcPr>
          <w:p w:rsidR="00D1637F" w:rsidRPr="00FC7A12" w:rsidRDefault="00D1637F" w:rsidP="0099464F">
            <w:pPr>
              <w:jc w:val="both"/>
            </w:pPr>
            <w:r w:rsidRPr="00FC7A12">
              <w:t>Tekući prihodi</w:t>
            </w:r>
          </w:p>
        </w:tc>
        <w:tc>
          <w:tcPr>
            <w:tcW w:w="2371" w:type="dxa"/>
            <w:vAlign w:val="center"/>
          </w:tcPr>
          <w:p w:rsidR="00D1637F" w:rsidRPr="00FC7A12" w:rsidRDefault="00D1637F" w:rsidP="0099464F">
            <w:pPr>
              <w:jc w:val="center"/>
            </w:pPr>
            <w:r w:rsidRPr="00FC7A12">
              <w:t xml:space="preserve">12.680.000,00 </w:t>
            </w:r>
          </w:p>
        </w:tc>
        <w:tc>
          <w:tcPr>
            <w:tcW w:w="2535" w:type="dxa"/>
            <w:vAlign w:val="center"/>
          </w:tcPr>
          <w:p w:rsidR="00D1637F" w:rsidRPr="00FC7A12" w:rsidRDefault="00D1637F" w:rsidP="0099464F">
            <w:pPr>
              <w:jc w:val="center"/>
            </w:pPr>
            <w:r w:rsidRPr="00FC7A12">
              <w:t>12.788.316,73</w:t>
            </w:r>
          </w:p>
        </w:tc>
        <w:tc>
          <w:tcPr>
            <w:tcW w:w="1415" w:type="dxa"/>
            <w:vAlign w:val="center"/>
          </w:tcPr>
          <w:p w:rsidR="00D1637F" w:rsidRPr="00FC7A12" w:rsidRDefault="00D1637F" w:rsidP="0099464F">
            <w:pPr>
              <w:jc w:val="center"/>
            </w:pPr>
            <w:r w:rsidRPr="00FC7A12">
              <w:t>100,85%</w:t>
            </w:r>
          </w:p>
        </w:tc>
      </w:tr>
      <w:tr w:rsidR="00D1637F" w:rsidRPr="00FC7A12" w:rsidTr="0099464F">
        <w:trPr>
          <w:trHeight w:val="274"/>
        </w:trPr>
        <w:tc>
          <w:tcPr>
            <w:tcW w:w="3407" w:type="dxa"/>
          </w:tcPr>
          <w:p w:rsidR="00D1637F" w:rsidRPr="00FC7A12" w:rsidRDefault="00D1637F" w:rsidP="0099464F">
            <w:r w:rsidRPr="00FC7A12">
              <w:t>Primici od prodaje nefinansijske imovine</w:t>
            </w:r>
          </w:p>
        </w:tc>
        <w:tc>
          <w:tcPr>
            <w:tcW w:w="2371" w:type="dxa"/>
            <w:vAlign w:val="center"/>
          </w:tcPr>
          <w:p w:rsidR="00D1637F" w:rsidRPr="00FC7A12" w:rsidRDefault="00D1637F" w:rsidP="0099464F">
            <w:pPr>
              <w:jc w:val="center"/>
            </w:pPr>
            <w:r w:rsidRPr="00FC7A12">
              <w:t xml:space="preserve">      30.000,00 </w:t>
            </w:r>
          </w:p>
        </w:tc>
        <w:tc>
          <w:tcPr>
            <w:tcW w:w="2535" w:type="dxa"/>
            <w:vAlign w:val="center"/>
          </w:tcPr>
          <w:p w:rsidR="00D1637F" w:rsidRPr="00FC7A12" w:rsidRDefault="00D1637F" w:rsidP="0099464F">
            <w:pPr>
              <w:jc w:val="center"/>
            </w:pPr>
            <w:r w:rsidRPr="00FC7A12">
              <w:t>9.554,00</w:t>
            </w:r>
          </w:p>
        </w:tc>
        <w:tc>
          <w:tcPr>
            <w:tcW w:w="1415" w:type="dxa"/>
            <w:vAlign w:val="center"/>
          </w:tcPr>
          <w:p w:rsidR="00D1637F" w:rsidRPr="00FC7A12" w:rsidRDefault="00D1637F" w:rsidP="0099464F">
            <w:pPr>
              <w:jc w:val="center"/>
            </w:pPr>
            <w:r w:rsidRPr="00FC7A12">
              <w:t>31,85%</w:t>
            </w:r>
          </w:p>
        </w:tc>
      </w:tr>
      <w:tr w:rsidR="00D1637F" w:rsidRPr="00FC7A12" w:rsidTr="0099464F">
        <w:trPr>
          <w:trHeight w:val="422"/>
        </w:trPr>
        <w:tc>
          <w:tcPr>
            <w:tcW w:w="3407" w:type="dxa"/>
          </w:tcPr>
          <w:p w:rsidR="00D1637F" w:rsidRPr="00FC7A12" w:rsidRDefault="00D1637F" w:rsidP="0099464F">
            <w:r w:rsidRPr="00FC7A12">
              <w:t>Kratkoročni plasmani i sred.prenešena iz preth.godine</w:t>
            </w:r>
          </w:p>
        </w:tc>
        <w:tc>
          <w:tcPr>
            <w:tcW w:w="2371" w:type="dxa"/>
            <w:vAlign w:val="center"/>
          </w:tcPr>
          <w:p w:rsidR="00D1637F" w:rsidRPr="00FC7A12" w:rsidRDefault="00D1637F" w:rsidP="0099464F">
            <w:pPr>
              <w:jc w:val="center"/>
            </w:pPr>
            <w:r w:rsidRPr="00FC7A12">
              <w:t xml:space="preserve">3.500.000,00 </w:t>
            </w:r>
          </w:p>
        </w:tc>
        <w:tc>
          <w:tcPr>
            <w:tcW w:w="2535" w:type="dxa"/>
            <w:vAlign w:val="center"/>
          </w:tcPr>
          <w:p w:rsidR="00D1637F" w:rsidRPr="00FC7A12" w:rsidRDefault="00D1637F" w:rsidP="0099464F">
            <w:pPr>
              <w:jc w:val="center"/>
            </w:pPr>
            <w:r w:rsidRPr="00FC7A12">
              <w:t>6.074.238,77</w:t>
            </w:r>
          </w:p>
        </w:tc>
        <w:tc>
          <w:tcPr>
            <w:tcW w:w="1415" w:type="dxa"/>
            <w:vAlign w:val="center"/>
          </w:tcPr>
          <w:p w:rsidR="00D1637F" w:rsidRPr="00FC7A12" w:rsidRDefault="00D1637F" w:rsidP="0099464F">
            <w:pPr>
              <w:jc w:val="center"/>
            </w:pPr>
            <w:r w:rsidRPr="00FC7A12">
              <w:t>173,55%</w:t>
            </w:r>
          </w:p>
        </w:tc>
      </w:tr>
      <w:tr w:rsidR="00D1637F" w:rsidRPr="00FC7A12" w:rsidTr="0099464F">
        <w:trPr>
          <w:trHeight w:val="427"/>
        </w:trPr>
        <w:tc>
          <w:tcPr>
            <w:tcW w:w="3407" w:type="dxa"/>
          </w:tcPr>
          <w:p w:rsidR="00D1637F" w:rsidRPr="00FC7A12" w:rsidRDefault="00D1637F" w:rsidP="0099464F">
            <w:pPr>
              <w:jc w:val="both"/>
            </w:pPr>
            <w:r w:rsidRPr="00FC7A12">
              <w:t>Donacije i transferi</w:t>
            </w:r>
          </w:p>
        </w:tc>
        <w:tc>
          <w:tcPr>
            <w:tcW w:w="2371" w:type="dxa"/>
            <w:vAlign w:val="center"/>
          </w:tcPr>
          <w:p w:rsidR="00D1637F" w:rsidRPr="00FC7A12" w:rsidRDefault="00D1637F" w:rsidP="0099464F">
            <w:pPr>
              <w:jc w:val="center"/>
            </w:pPr>
            <w:r w:rsidRPr="00FC7A12">
              <w:t xml:space="preserve">6.750.000,00 </w:t>
            </w:r>
          </w:p>
        </w:tc>
        <w:tc>
          <w:tcPr>
            <w:tcW w:w="2535" w:type="dxa"/>
            <w:vAlign w:val="center"/>
          </w:tcPr>
          <w:p w:rsidR="00D1637F" w:rsidRPr="00FC7A12" w:rsidRDefault="00D1637F" w:rsidP="0099464F">
            <w:pPr>
              <w:jc w:val="center"/>
            </w:pPr>
            <w:r w:rsidRPr="00FC7A12">
              <w:t>6.368.192,25</w:t>
            </w:r>
          </w:p>
        </w:tc>
        <w:tc>
          <w:tcPr>
            <w:tcW w:w="1415" w:type="dxa"/>
            <w:vAlign w:val="center"/>
          </w:tcPr>
          <w:p w:rsidR="00D1637F" w:rsidRPr="00FC7A12" w:rsidRDefault="00D1637F" w:rsidP="0099464F">
            <w:pPr>
              <w:jc w:val="center"/>
            </w:pPr>
            <w:r w:rsidRPr="00FC7A12">
              <w:t>94,34%</w:t>
            </w:r>
          </w:p>
        </w:tc>
      </w:tr>
      <w:tr w:rsidR="00D1637F" w:rsidRPr="00FC7A12" w:rsidTr="0099464F">
        <w:trPr>
          <w:trHeight w:val="405"/>
        </w:trPr>
        <w:tc>
          <w:tcPr>
            <w:tcW w:w="3407" w:type="dxa"/>
          </w:tcPr>
          <w:p w:rsidR="00D1637F" w:rsidRPr="00FC7A12" w:rsidRDefault="00D1637F" w:rsidP="0099464F">
            <w:pPr>
              <w:jc w:val="both"/>
            </w:pPr>
            <w:r w:rsidRPr="00FC7A12">
              <w:t>Pozajmice i krediti</w:t>
            </w:r>
          </w:p>
        </w:tc>
        <w:tc>
          <w:tcPr>
            <w:tcW w:w="2371" w:type="dxa"/>
            <w:vAlign w:val="center"/>
          </w:tcPr>
          <w:p w:rsidR="00D1637F" w:rsidRPr="00FC7A12" w:rsidRDefault="00D1637F" w:rsidP="0099464F">
            <w:pPr>
              <w:jc w:val="center"/>
            </w:pPr>
            <w:r w:rsidRPr="00FC7A12">
              <w:t xml:space="preserve">   1.000.000,00</w:t>
            </w:r>
          </w:p>
        </w:tc>
        <w:tc>
          <w:tcPr>
            <w:tcW w:w="2535" w:type="dxa"/>
            <w:vAlign w:val="center"/>
          </w:tcPr>
          <w:p w:rsidR="00D1637F" w:rsidRPr="00FC7A12" w:rsidRDefault="00D1637F" w:rsidP="0099464F">
            <w:pPr>
              <w:jc w:val="center"/>
            </w:pPr>
            <w:r w:rsidRPr="00FC7A12">
              <w:t>-</w:t>
            </w:r>
          </w:p>
        </w:tc>
        <w:tc>
          <w:tcPr>
            <w:tcW w:w="1415" w:type="dxa"/>
            <w:vAlign w:val="center"/>
          </w:tcPr>
          <w:p w:rsidR="00D1637F" w:rsidRPr="00FC7A12" w:rsidRDefault="00D1637F" w:rsidP="0099464F">
            <w:pPr>
              <w:jc w:val="center"/>
            </w:pPr>
            <w:r w:rsidRPr="00FC7A12">
              <w:t>-</w:t>
            </w:r>
          </w:p>
        </w:tc>
      </w:tr>
      <w:tr w:rsidR="00D1637F" w:rsidRPr="00FC7A12" w:rsidTr="0099464F">
        <w:trPr>
          <w:trHeight w:val="405"/>
        </w:trPr>
        <w:tc>
          <w:tcPr>
            <w:tcW w:w="3407" w:type="dxa"/>
            <w:vAlign w:val="center"/>
          </w:tcPr>
          <w:p w:rsidR="00D1637F" w:rsidRPr="00FC7A12" w:rsidRDefault="00D1637F" w:rsidP="0099464F">
            <w:pPr>
              <w:jc w:val="center"/>
              <w:rPr>
                <w:b/>
              </w:rPr>
            </w:pPr>
            <w:r w:rsidRPr="00FC7A12">
              <w:rPr>
                <w:b/>
              </w:rPr>
              <w:t>UKUPNO:</w:t>
            </w:r>
          </w:p>
        </w:tc>
        <w:tc>
          <w:tcPr>
            <w:tcW w:w="2371" w:type="dxa"/>
            <w:vAlign w:val="center"/>
          </w:tcPr>
          <w:p w:rsidR="00D1637F" w:rsidRPr="00FC7A12" w:rsidRDefault="00D1637F" w:rsidP="0099464F">
            <w:pPr>
              <w:jc w:val="center"/>
              <w:rPr>
                <w:b/>
              </w:rPr>
            </w:pPr>
            <w:r w:rsidRPr="00FC7A12">
              <w:rPr>
                <w:b/>
              </w:rPr>
              <w:t>23.960.000,00</w:t>
            </w:r>
          </w:p>
        </w:tc>
        <w:tc>
          <w:tcPr>
            <w:tcW w:w="2535" w:type="dxa"/>
            <w:vAlign w:val="center"/>
          </w:tcPr>
          <w:p w:rsidR="00D1637F" w:rsidRPr="00FC7A12" w:rsidRDefault="00D1637F" w:rsidP="0099464F">
            <w:pPr>
              <w:jc w:val="center"/>
              <w:rPr>
                <w:b/>
              </w:rPr>
            </w:pPr>
            <w:r w:rsidRPr="00FC7A12">
              <w:rPr>
                <w:b/>
              </w:rPr>
              <w:t>25.240.301,75</w:t>
            </w:r>
          </w:p>
        </w:tc>
        <w:tc>
          <w:tcPr>
            <w:tcW w:w="1415" w:type="dxa"/>
            <w:vAlign w:val="center"/>
          </w:tcPr>
          <w:p w:rsidR="00D1637F" w:rsidRPr="00FC7A12" w:rsidRDefault="00D1637F" w:rsidP="0099464F">
            <w:pPr>
              <w:jc w:val="center"/>
              <w:rPr>
                <w:b/>
              </w:rPr>
            </w:pPr>
            <w:r w:rsidRPr="00FC7A12">
              <w:rPr>
                <w:b/>
              </w:rPr>
              <w:t>105,34%</w:t>
            </w:r>
          </w:p>
        </w:tc>
      </w:tr>
    </w:tbl>
    <w:p w:rsidR="00D1637F" w:rsidRPr="00FC7A12" w:rsidRDefault="00D1637F" w:rsidP="00D1637F">
      <w:pPr>
        <w:jc w:val="both"/>
      </w:pPr>
    </w:p>
    <w:p w:rsidR="00D1637F" w:rsidRPr="00FC7A12" w:rsidRDefault="00D1637F" w:rsidP="00D1637F">
      <w:pPr>
        <w:jc w:val="both"/>
      </w:pPr>
    </w:p>
    <w:p w:rsidR="00D1637F" w:rsidRPr="00FC7A12" w:rsidRDefault="00D1637F" w:rsidP="00D1637F">
      <w:pPr>
        <w:jc w:val="center"/>
      </w:pPr>
      <w:r w:rsidRPr="00FC7A12">
        <w:rPr>
          <w:noProof/>
          <w:lang w:val="sr-Latn-RS" w:eastAsia="sr-Latn-RS"/>
        </w:rPr>
        <w:drawing>
          <wp:inline distT="0" distB="0" distL="0" distR="0">
            <wp:extent cx="5501640" cy="3211830"/>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1637F" w:rsidRPr="00FC7A12" w:rsidRDefault="00D1637F" w:rsidP="00D1637F">
      <w:pPr>
        <w:jc w:val="both"/>
      </w:pPr>
    </w:p>
    <w:p w:rsidR="00D1637F" w:rsidRPr="00FC7A12" w:rsidRDefault="00D1637F" w:rsidP="00D1637F">
      <w:pPr>
        <w:jc w:val="both"/>
      </w:pPr>
    </w:p>
    <w:p w:rsidR="00D1637F" w:rsidRPr="00FC7A12" w:rsidRDefault="00D1637F" w:rsidP="00D1637F">
      <w:pPr>
        <w:rPr>
          <w:b/>
        </w:rPr>
      </w:pPr>
      <w:r w:rsidRPr="00FC7A12">
        <w:t>Izvršeni izdaci, na kraju 2020.</w:t>
      </w:r>
      <w:r w:rsidR="00E141C1" w:rsidRPr="00FC7A12">
        <w:t xml:space="preserve"> </w:t>
      </w:r>
      <w:r w:rsidRPr="00FC7A12">
        <w:t>godine, iznosili su 20.520.592,57 € ili 85,64 ℅ u odnosu na plan (23.960.000,00)</w:t>
      </w:r>
    </w:p>
    <w:p w:rsidR="00C278FE" w:rsidRPr="00FC7A12" w:rsidRDefault="00C278FE" w:rsidP="00D1637F">
      <w:pPr>
        <w:jc w:val="both"/>
      </w:pPr>
      <w:r w:rsidRPr="00FC7A12">
        <w:t xml:space="preserve"> </w:t>
      </w:r>
    </w:p>
    <w:p w:rsidR="00C278FE" w:rsidRPr="00FC7A12" w:rsidRDefault="00C278FE" w:rsidP="00E34D60">
      <w:pPr>
        <w:ind w:firstLine="540"/>
        <w:jc w:val="both"/>
      </w:pPr>
    </w:p>
    <w:p w:rsidR="00C278FE" w:rsidRPr="00FC7A12" w:rsidRDefault="00D1637F" w:rsidP="00E34D60">
      <w:pPr>
        <w:ind w:firstLine="540"/>
        <w:jc w:val="both"/>
      </w:pPr>
      <w:r w:rsidRPr="00FC7A12">
        <w:rPr>
          <w:noProof/>
          <w:lang w:val="sr-Latn-RS" w:eastAsia="sr-Latn-RS"/>
        </w:rPr>
        <w:drawing>
          <wp:inline distT="0" distB="0" distL="0" distR="0">
            <wp:extent cx="5501640" cy="3211830"/>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278FE" w:rsidRPr="00FC7A12" w:rsidRDefault="00C278FE" w:rsidP="00E34D60">
      <w:pPr>
        <w:ind w:firstLine="540"/>
        <w:jc w:val="both"/>
      </w:pPr>
    </w:p>
    <w:p w:rsidR="00D1637F" w:rsidRPr="00FC7A12" w:rsidRDefault="00D1637F" w:rsidP="00E34D60">
      <w:pPr>
        <w:ind w:firstLine="540"/>
        <w:jc w:val="both"/>
      </w:pPr>
    </w:p>
    <w:p w:rsidR="00D1637F" w:rsidRPr="00FC7A12" w:rsidRDefault="00D1637F" w:rsidP="00E34D60">
      <w:pPr>
        <w:ind w:firstLine="540"/>
        <w:jc w:val="both"/>
      </w:pPr>
    </w:p>
    <w:p w:rsidR="00C278FE" w:rsidRPr="00FC7A12" w:rsidRDefault="00C278FE" w:rsidP="00E141C1">
      <w:pPr>
        <w:ind w:firstLine="540"/>
        <w:jc w:val="both"/>
      </w:pPr>
      <w:r w:rsidRPr="00FC7A12">
        <w:t>Na budžetske tokove i njegovu realizaciju ukazaće Završ</w:t>
      </w:r>
      <w:r w:rsidR="00E141C1" w:rsidRPr="00FC7A12">
        <w:t>ni račun budžeta opštine za 2020</w:t>
      </w:r>
      <w:r w:rsidRPr="00FC7A12">
        <w:t xml:space="preserve">. godinu, koji će biti predmet Revizije. </w:t>
      </w:r>
    </w:p>
    <w:p w:rsidR="00C278FE" w:rsidRPr="00FC7A12" w:rsidRDefault="00C278FE" w:rsidP="00E34D60">
      <w:pPr>
        <w:ind w:firstLine="540"/>
        <w:jc w:val="both"/>
      </w:pPr>
    </w:p>
    <w:p w:rsidR="00C278FE" w:rsidRPr="00FC7A12" w:rsidRDefault="00C278FE" w:rsidP="00E141C1">
      <w:pPr>
        <w:ind w:firstLine="540"/>
        <w:jc w:val="both"/>
      </w:pPr>
      <w:r w:rsidRPr="00FC7A12">
        <w:t>Sektor za finansije je postigao puni stepen saradnje sa predsjednikom Opštine kao nalogodavcem budžeta, kao i sa starješinama organa lokalne uprave i službi i direktorima javnih preduzeća i javnih ustanova. Takodje</w:t>
      </w:r>
      <w:r w:rsidR="00305A7E" w:rsidRPr="00FC7A12">
        <w:t>,</w:t>
      </w:r>
      <w:r w:rsidRPr="00FC7A12">
        <w:t xml:space="preserve"> postignut </w:t>
      </w:r>
      <w:r w:rsidR="00305A7E" w:rsidRPr="00FC7A12">
        <w:t xml:space="preserve">je </w:t>
      </w:r>
      <w:r w:rsidRPr="00FC7A12">
        <w:t>puni stepen saradnje sa Ministarstvom finansija i drugim državim organima.</w:t>
      </w:r>
    </w:p>
    <w:p w:rsidR="00C278FE" w:rsidRPr="00FC7A12" w:rsidRDefault="00C278FE" w:rsidP="00E34D60">
      <w:pPr>
        <w:ind w:firstLine="540"/>
        <w:jc w:val="both"/>
      </w:pPr>
    </w:p>
    <w:p w:rsidR="00605ED5" w:rsidRPr="00FC7A12" w:rsidRDefault="00605ED5" w:rsidP="00E34D60">
      <w:pPr>
        <w:ind w:left="-180" w:right="-468" w:firstLine="720"/>
        <w:jc w:val="both"/>
      </w:pPr>
      <w:r w:rsidRPr="00FC7A12">
        <w:t>U Sektoru za regionalni razvoj i preduzetništvo poslovi su organizovani u o</w:t>
      </w:r>
      <w:r w:rsidR="00E34D60" w:rsidRPr="00FC7A12">
        <w:t>kviru dva odjeljenja i to:</w:t>
      </w:r>
      <w:r w:rsidR="00D1637F" w:rsidRPr="00FC7A12">
        <w:t xml:space="preserve"> </w:t>
      </w:r>
      <w:r w:rsidRPr="00FC7A12">
        <w:t xml:space="preserve">Odjeljenje za regionalni razvoj, preduzetništvo i upravno-pravne poslove i Odjeljenje za poljoprivredu. </w:t>
      </w:r>
    </w:p>
    <w:p w:rsidR="00605ED5" w:rsidRPr="00FC7A12" w:rsidRDefault="00605ED5" w:rsidP="00E34D60">
      <w:pPr>
        <w:ind w:left="-180" w:right="-468"/>
        <w:jc w:val="both"/>
      </w:pPr>
    </w:p>
    <w:p w:rsidR="00605ED5" w:rsidRPr="00FC7A12" w:rsidRDefault="00605ED5" w:rsidP="00E34D60">
      <w:pPr>
        <w:ind w:left="-180" w:right="-468" w:firstLine="720"/>
        <w:jc w:val="both"/>
      </w:pPr>
      <w:r w:rsidRPr="00FC7A12">
        <w:rPr>
          <w:b/>
        </w:rPr>
        <w:t>U Odjeljenje za regionalni razvoj, preduzetništvo i upravno-pravne poslove</w:t>
      </w:r>
      <w:r w:rsidR="00D1637F" w:rsidRPr="00FC7A12">
        <w:t xml:space="preserve"> u toku 2020</w:t>
      </w:r>
      <w:r w:rsidRPr="00FC7A12">
        <w:t xml:space="preserve">. godine je prispjelo </w:t>
      </w:r>
      <w:r w:rsidR="00F85760" w:rsidRPr="00FC7A12">
        <w:rPr>
          <w:b/>
        </w:rPr>
        <w:t>275</w:t>
      </w:r>
      <w:r w:rsidRPr="00FC7A12">
        <w:t xml:space="preserve">  zahtjeva</w:t>
      </w:r>
      <w:r w:rsidR="00305A7E" w:rsidRPr="00FC7A12">
        <w:t>,</w:t>
      </w:r>
      <w:r w:rsidRPr="00FC7A12">
        <w:t xml:space="preserve"> od kojih se </w:t>
      </w:r>
      <w:r w:rsidR="00F85760" w:rsidRPr="00FC7A12">
        <w:rPr>
          <w:b/>
        </w:rPr>
        <w:t>234</w:t>
      </w:r>
      <w:r w:rsidRPr="00FC7A12">
        <w:t xml:space="preserve"> zahtjeva odnose na rješavanje u prvostepenom upravnom postupku, </w:t>
      </w:r>
      <w:r w:rsidR="00F85760" w:rsidRPr="00FC7A12">
        <w:rPr>
          <w:b/>
        </w:rPr>
        <w:t xml:space="preserve">14 </w:t>
      </w:r>
      <w:r w:rsidRPr="00FC7A12">
        <w:t xml:space="preserve">zahtjeva na izdavanje uvjerenja o činjenicama  o kojima se vodi službena evidencija, </w:t>
      </w:r>
      <w:r w:rsidR="00F85760" w:rsidRPr="00FC7A12">
        <w:rPr>
          <w:b/>
        </w:rPr>
        <w:t>2</w:t>
      </w:r>
      <w:r w:rsidRPr="00FC7A12">
        <w:t xml:space="preserve"> zahtjeva za ovjeru knjige gostiju i </w:t>
      </w:r>
      <w:r w:rsidR="00F85760" w:rsidRPr="00FC7A12">
        <w:rPr>
          <w:b/>
        </w:rPr>
        <w:t>25</w:t>
      </w:r>
      <w:r w:rsidRPr="00FC7A12">
        <w:rPr>
          <w:b/>
        </w:rPr>
        <w:t xml:space="preserve"> </w:t>
      </w:r>
      <w:r w:rsidRPr="00FC7A12">
        <w:t xml:space="preserve"> zahtje</w:t>
      </w:r>
      <w:r w:rsidR="00E141C1" w:rsidRPr="00FC7A12">
        <w:t xml:space="preserve">va za ovjeru knjige prigovora. </w:t>
      </w:r>
      <w:r w:rsidRPr="00FC7A12">
        <w:t>U svim predmetima su podnosioci zahtjeva bile stranke dok nije bilo zahtjeva po službenoj dužnosti.</w:t>
      </w:r>
    </w:p>
    <w:p w:rsidR="00605ED5" w:rsidRPr="00FC7A12" w:rsidRDefault="00F85760" w:rsidP="00352A7A">
      <w:pPr>
        <w:tabs>
          <w:tab w:val="left" w:pos="0"/>
        </w:tabs>
        <w:ind w:left="-180" w:right="-468"/>
        <w:jc w:val="both"/>
      </w:pPr>
      <w:r w:rsidRPr="00FC7A12">
        <w:tab/>
      </w:r>
      <w:r w:rsidRPr="00FC7A12">
        <w:tab/>
        <w:t>U toku 2020</w:t>
      </w:r>
      <w:r w:rsidR="00605ED5" w:rsidRPr="00FC7A12">
        <w:t xml:space="preserve">. godine je primljeno i evidentirano </w:t>
      </w:r>
      <w:r w:rsidR="00352A7A" w:rsidRPr="00FC7A12">
        <w:rPr>
          <w:b/>
        </w:rPr>
        <w:t>212</w:t>
      </w:r>
      <w:r w:rsidR="00605ED5" w:rsidRPr="00FC7A12">
        <w:t xml:space="preserve"> prijava </w:t>
      </w:r>
      <w:r w:rsidR="00352A7A" w:rsidRPr="00FC7A12">
        <w:t xml:space="preserve">i promjena </w:t>
      </w:r>
      <w:r w:rsidR="00605ED5" w:rsidRPr="00FC7A12">
        <w:t>trgovine</w:t>
      </w:r>
      <w:r w:rsidR="00352A7A" w:rsidRPr="00FC7A12">
        <w:t>.</w:t>
      </w:r>
    </w:p>
    <w:p w:rsidR="00605ED5" w:rsidRPr="00FC7A12" w:rsidRDefault="00352A7A" w:rsidP="00415C07">
      <w:pPr>
        <w:tabs>
          <w:tab w:val="left" w:pos="0"/>
        </w:tabs>
        <w:ind w:left="-180" w:right="-468"/>
        <w:jc w:val="both"/>
      </w:pPr>
      <w:r w:rsidRPr="00FC7A12">
        <w:tab/>
      </w:r>
      <w:r w:rsidRPr="00FC7A12">
        <w:tab/>
        <w:t>Primljeno je i evidentirano</w:t>
      </w:r>
      <w:r w:rsidR="00605ED5" w:rsidRPr="00FC7A12">
        <w:t xml:space="preserve"> </w:t>
      </w:r>
      <w:r w:rsidRPr="00FC7A12">
        <w:rPr>
          <w:b/>
        </w:rPr>
        <w:t>78</w:t>
      </w:r>
      <w:r w:rsidR="00605ED5" w:rsidRPr="00FC7A12">
        <w:t xml:space="preserve"> prijava zanatstva od kojih se </w:t>
      </w:r>
      <w:r w:rsidRPr="00FC7A12">
        <w:rPr>
          <w:b/>
        </w:rPr>
        <w:t>44</w:t>
      </w:r>
      <w:r w:rsidRPr="00FC7A12">
        <w:t xml:space="preserve"> odnose</w:t>
      </w:r>
      <w:r w:rsidR="00605ED5" w:rsidRPr="00FC7A12">
        <w:t xml:space="preserve"> na početak obavljanja zanatske djelatnosti, </w:t>
      </w:r>
      <w:r w:rsidRPr="00FC7A12">
        <w:rPr>
          <w:b/>
        </w:rPr>
        <w:t>23</w:t>
      </w:r>
      <w:r w:rsidR="00605ED5" w:rsidRPr="00FC7A12">
        <w:t xml:space="preserve"> na prestanak obavljanja zanatske djelatnosti i </w:t>
      </w:r>
      <w:r w:rsidRPr="00FC7A12">
        <w:rPr>
          <w:b/>
        </w:rPr>
        <w:t>1</w:t>
      </w:r>
      <w:r w:rsidR="00415C07" w:rsidRPr="00FC7A12">
        <w:t xml:space="preserve"> na promje</w:t>
      </w:r>
      <w:r w:rsidR="00C06A3C">
        <w:t>n</w:t>
      </w:r>
      <w:r w:rsidR="00415C07" w:rsidRPr="00FC7A12">
        <w:t>u podataka u prijavi.</w:t>
      </w:r>
    </w:p>
    <w:p w:rsidR="00605ED5" w:rsidRPr="00FC7A12" w:rsidRDefault="00352A7A" w:rsidP="00415C07">
      <w:pPr>
        <w:tabs>
          <w:tab w:val="left" w:pos="0"/>
        </w:tabs>
        <w:ind w:left="-180" w:right="-468"/>
        <w:jc w:val="both"/>
      </w:pPr>
      <w:r w:rsidRPr="00FC7A12">
        <w:lastRenderedPageBreak/>
        <w:tab/>
      </w:r>
      <w:r w:rsidRPr="00FC7A12">
        <w:tab/>
        <w:t>I u 2020</w:t>
      </w:r>
      <w:r w:rsidR="00605ED5" w:rsidRPr="00FC7A12">
        <w:t>. godini je rađeno na unosu podataka ugostiteljskih objekata u Centralni turistički registar Ministarstva održivog razvoja i turizma.</w:t>
      </w:r>
    </w:p>
    <w:p w:rsidR="00605ED5" w:rsidRPr="00FC7A12" w:rsidRDefault="00E34D60" w:rsidP="00415C07">
      <w:pPr>
        <w:tabs>
          <w:tab w:val="left" w:pos="0"/>
        </w:tabs>
        <w:ind w:left="-180" w:right="-468"/>
        <w:jc w:val="both"/>
      </w:pPr>
      <w:r w:rsidRPr="00FC7A12">
        <w:rPr>
          <w:b/>
        </w:rPr>
        <w:tab/>
      </w:r>
      <w:r w:rsidRPr="00FC7A12">
        <w:rPr>
          <w:b/>
        </w:rPr>
        <w:tab/>
      </w:r>
      <w:r w:rsidR="00605ED5" w:rsidRPr="00FC7A12">
        <w:rPr>
          <w:b/>
        </w:rPr>
        <w:t xml:space="preserve">U Odjeljenju za poljoprivredu </w:t>
      </w:r>
      <w:r w:rsidR="00750D81" w:rsidRPr="00FC7A12">
        <w:t>su u 2020</w:t>
      </w:r>
      <w:r w:rsidR="00605ED5" w:rsidRPr="00FC7A12">
        <w:t xml:space="preserve">. godini izvršeni svi zadaci koji su planirani za </w:t>
      </w:r>
      <w:r w:rsidR="00605ED5" w:rsidRPr="00FC7A12">
        <w:rPr>
          <w:color w:val="FF0000"/>
        </w:rPr>
        <w:t xml:space="preserve"> </w:t>
      </w:r>
      <w:r w:rsidR="00605ED5" w:rsidRPr="00FC7A12">
        <w:t>tu godinu i povjereni zadaci koji se odnose na sprovođenje stimulativnih mjera p</w:t>
      </w:r>
      <w:r w:rsidR="00750D81" w:rsidRPr="00FC7A12">
        <w:t>ropisanih  Agrobudžetom  za 2020.</w:t>
      </w:r>
      <w:r w:rsidR="00605ED5" w:rsidRPr="00FC7A12">
        <w:t xml:space="preserve"> godinu, na način da se zainteresovanim poljoprivrednim proizvođačima što bolje pojasne i približe propisane stimulativne mjere i n</w:t>
      </w:r>
      <w:r w:rsidR="00415C07" w:rsidRPr="00FC7A12">
        <w:t>ačin na koji se mogu ostvariti.</w:t>
      </w:r>
    </w:p>
    <w:p w:rsidR="00EB1A95" w:rsidRPr="00FC7A12" w:rsidRDefault="00605ED5" w:rsidP="00415C07">
      <w:pPr>
        <w:ind w:left="-180" w:right="-468" w:firstLine="888"/>
        <w:jc w:val="both"/>
      </w:pPr>
      <w:r w:rsidRPr="00FC7A12">
        <w:t>Za sprovođenje stimulativnih mjera je prikupljana i dostavljana Ministarstvu potrebna dokumentacija za lica koja ispunj</w:t>
      </w:r>
      <w:r w:rsidR="00600C54">
        <w:t>avaju uslove za upis u Registar</w:t>
      </w:r>
      <w:r w:rsidRPr="00FC7A12">
        <w:t xml:space="preserve"> poljoprivrednih osiguranika, kao i za lica koja su stekla potrebne uslove za dobijanje staračke naknade.</w:t>
      </w:r>
    </w:p>
    <w:p w:rsidR="008D76B9" w:rsidRPr="00FC7A12" w:rsidRDefault="00E34D60" w:rsidP="008D76B9">
      <w:pPr>
        <w:tabs>
          <w:tab w:val="left" w:pos="0"/>
        </w:tabs>
        <w:ind w:left="-180" w:right="-468"/>
        <w:jc w:val="both"/>
      </w:pPr>
      <w:r w:rsidRPr="00FC7A12">
        <w:tab/>
      </w:r>
      <w:r w:rsidRPr="00FC7A12">
        <w:tab/>
      </w:r>
      <w:r w:rsidR="009134A3" w:rsidRPr="00FC7A12">
        <w:t>I u 2020</w:t>
      </w:r>
      <w:r w:rsidR="00605ED5" w:rsidRPr="00FC7A12">
        <w:t>. godini su službenici ovog odjeljenja, po pozivu i na osnovu interesovanja poljoprivrednih proizvođača, vršili t</w:t>
      </w:r>
      <w:r w:rsidR="00305A7E" w:rsidRPr="00FC7A12">
        <w:t>erenske obilaske na teritoriji o</w:t>
      </w:r>
      <w:r w:rsidR="00605ED5" w:rsidRPr="00FC7A12">
        <w:t>pštine. Savjeti su pružani iz raznih grana i administrativnih oblasti koje tretiraju poljoprivrednu proizvodnju. Veći broj stručnih savjeta i objašnjenja  dat je zainteresovanim poljoprivrednim proizvođačima vezano za način i postupak za apliciranje prema evropskim IPARD fondovima i IRF-u (Investicionom razvojnom fondu) za korišćenje stimulativnih mjera</w:t>
      </w:r>
      <w:r w:rsidR="009134A3" w:rsidRPr="00FC7A12">
        <w:t xml:space="preserve"> propisanih Agrobudžetom za 2020.</w:t>
      </w:r>
      <w:r w:rsidR="00605ED5" w:rsidRPr="00FC7A12">
        <w:t xml:space="preserve"> god.</w:t>
      </w:r>
      <w:r w:rsidR="00305A7E" w:rsidRPr="00FC7A12">
        <w:t>,</w:t>
      </w:r>
      <w:r w:rsidR="00605ED5" w:rsidRPr="00FC7A12">
        <w:t xml:space="preserve"> a koja su namijenjena  za biljnu i stočarsku proizvodnju.</w:t>
      </w:r>
      <w:r w:rsidR="009134A3" w:rsidRPr="00FC7A12">
        <w:t xml:space="preserve"> Međutim, zbog situacije prouzrokovane pandemijom virusa COVID 19 broj poziva od strane poljoprivrednih proizvođača je bio smanjen u odnosnu na prethodne godine, a samim tim smanjen je i broj terenskih obilazaka.</w:t>
      </w:r>
    </w:p>
    <w:p w:rsidR="0011770A" w:rsidRPr="00FC7A12" w:rsidRDefault="008D76B9" w:rsidP="0011770A">
      <w:pPr>
        <w:tabs>
          <w:tab w:val="left" w:pos="0"/>
        </w:tabs>
        <w:ind w:left="-180" w:right="-468"/>
        <w:jc w:val="both"/>
        <w:rPr>
          <w:color w:val="000000" w:themeColor="text1"/>
          <w:lang w:val="sr-Latn-ME"/>
        </w:rPr>
      </w:pPr>
      <w:r w:rsidRPr="00FC7A12">
        <w:tab/>
      </w:r>
      <w:r w:rsidRPr="00FC7A12">
        <w:tab/>
      </w:r>
      <w:r w:rsidRPr="00600C54">
        <w:rPr>
          <w:b/>
          <w:color w:val="000000" w:themeColor="text1"/>
        </w:rPr>
        <w:t>U Sektoru za javne nabavke</w:t>
      </w:r>
      <w:r w:rsidRPr="00FC7A12">
        <w:rPr>
          <w:color w:val="000000" w:themeColor="text1"/>
        </w:rPr>
        <w:t xml:space="preserve"> vrše se poslovi koji se odnose na: </w:t>
      </w:r>
      <w:r w:rsidRPr="00FC7A12">
        <w:rPr>
          <w:color w:val="000000" w:themeColor="text1"/>
          <w:lang w:val="sr-Latn-ME"/>
        </w:rPr>
        <w:t>pripremu plana javnih nabavki;vođenje postupka javnih nabavki u skladu sa zakonom i podzakonskim aktima;</w:t>
      </w:r>
      <w:r w:rsidR="00600C54">
        <w:rPr>
          <w:color w:val="000000" w:themeColor="text1"/>
          <w:lang w:val="sr-Latn-ME"/>
        </w:rPr>
        <w:t xml:space="preserve"> </w:t>
      </w:r>
      <w:r w:rsidRPr="00FC7A12">
        <w:rPr>
          <w:color w:val="000000" w:themeColor="text1"/>
          <w:lang w:val="sr-Latn-ME"/>
        </w:rPr>
        <w:t>pripremu teksta odluke o pokretanju postupka javne nabavke;</w:t>
      </w:r>
      <w:r w:rsidR="00600C54">
        <w:rPr>
          <w:color w:val="000000" w:themeColor="text1"/>
          <w:lang w:val="sr-Latn-ME"/>
        </w:rPr>
        <w:t xml:space="preserve"> </w:t>
      </w:r>
      <w:r w:rsidRPr="00FC7A12">
        <w:rPr>
          <w:color w:val="000000" w:themeColor="text1"/>
          <w:lang w:val="sr-Latn-ME"/>
        </w:rPr>
        <w:t>objavljivanje na portalu javnih nabavki plana javnih nabavki, tenderske dokumentacije, odluke o kvalifikaciji kandidata, odluke o izboru najpovoljnije ponude, odluke o obustavi postupka javne nabavke, odluke o poništavanju postupka javne nabavke, ugovora o javnoj nabavci, izmjene, odnosno dopune plana, tenderske dokumentacije, odluke i ugovora;</w:t>
      </w:r>
      <w:r w:rsidR="00600C54">
        <w:rPr>
          <w:color w:val="000000" w:themeColor="text1"/>
          <w:lang w:val="sr-Latn-ME"/>
        </w:rPr>
        <w:t xml:space="preserve"> </w:t>
      </w:r>
      <w:r w:rsidRPr="00FC7A12">
        <w:rPr>
          <w:color w:val="000000" w:themeColor="text1"/>
          <w:lang w:val="sr-Latn-ME"/>
        </w:rPr>
        <w:t>oglašavanje i obavještavanje o postupku javne nabavke u jednom dnevnom štampanom mediju koji se izdaje i distribuira na</w:t>
      </w:r>
      <w:r w:rsidR="00600C54">
        <w:rPr>
          <w:color w:val="000000" w:themeColor="text1"/>
          <w:lang w:val="sr-Latn-ME"/>
        </w:rPr>
        <w:t xml:space="preserve"> cijeloj teritoriji Crne Gore, </w:t>
      </w:r>
      <w:r w:rsidRPr="00FC7A12">
        <w:rPr>
          <w:color w:val="000000" w:themeColor="text1"/>
          <w:lang w:val="sr-Latn-ME"/>
        </w:rPr>
        <w:t xml:space="preserve"> koji je dostupan </w:t>
      </w:r>
      <w:r w:rsidR="00600C54">
        <w:rPr>
          <w:color w:val="000000" w:themeColor="text1"/>
          <w:lang w:val="sr-Latn-ME"/>
        </w:rPr>
        <w:t xml:space="preserve">i </w:t>
      </w:r>
      <w:r w:rsidRPr="00FC7A12">
        <w:rPr>
          <w:color w:val="000000" w:themeColor="text1"/>
          <w:lang w:val="sr-Latn-ME"/>
        </w:rPr>
        <w:t xml:space="preserve">na internetu; sprovođenje postupaka hitne nabavke i nabavke </w:t>
      </w:r>
      <w:r w:rsidR="00600C54">
        <w:rPr>
          <w:color w:val="000000" w:themeColor="text1"/>
          <w:lang w:val="sr-Latn-ME"/>
        </w:rPr>
        <w:t xml:space="preserve">male vrijednosti; </w:t>
      </w:r>
      <w:r w:rsidRPr="00FC7A12">
        <w:rPr>
          <w:color w:val="000000" w:themeColor="text1"/>
          <w:lang w:val="sr-Latn-ME"/>
        </w:rPr>
        <w:t>koordiniranje i nadzor nad zakonitošću teksta i zahtjeva tenderske dokumentacije sa instrukcijama za postupanje;</w:t>
      </w:r>
      <w:r w:rsidR="00600C54">
        <w:rPr>
          <w:color w:val="000000" w:themeColor="text1"/>
          <w:lang w:val="sr-Latn-ME"/>
        </w:rPr>
        <w:t xml:space="preserve"> </w:t>
      </w:r>
      <w:r w:rsidRPr="00FC7A12">
        <w:rPr>
          <w:color w:val="000000" w:themeColor="text1"/>
          <w:lang w:val="sr-Latn-ME"/>
        </w:rPr>
        <w:t>zdavanje zainteresovanim licima dijela tenderske dokumentacije koji sadrži tajne podatke, a u skladu sa propisima koji uređuju tajnost podataka;vršenje stručnih i administrativnih poslova u realizaciji postupka javne nabavke; izradu nacrta ugovora o javnim nabavkama;</w:t>
      </w:r>
      <w:r w:rsidR="00600C54">
        <w:rPr>
          <w:color w:val="000000" w:themeColor="text1"/>
          <w:lang w:val="sr-Latn-ME"/>
        </w:rPr>
        <w:t xml:space="preserve"> r</w:t>
      </w:r>
      <w:r w:rsidRPr="00FC7A12">
        <w:rPr>
          <w:color w:val="000000" w:themeColor="text1"/>
          <w:lang w:val="sr-Latn-ME"/>
        </w:rPr>
        <w:t>alizaciju ugovora o javnim nabavkama;</w:t>
      </w:r>
      <w:r w:rsidR="00600C54">
        <w:rPr>
          <w:color w:val="000000" w:themeColor="text1"/>
          <w:lang w:val="sr-Latn-ME"/>
        </w:rPr>
        <w:t xml:space="preserve"> </w:t>
      </w:r>
      <w:r w:rsidRPr="00FC7A12">
        <w:rPr>
          <w:color w:val="000000" w:themeColor="text1"/>
          <w:lang w:val="sr-Latn-ME"/>
        </w:rPr>
        <w:t>vođenje evidencije sprovedenih postupaka javne nabavke, sprovedenih hitnih nabavki i nabavki male vrijednosti i zaključenih ugovora o javnim nabavkama  itd.</w:t>
      </w:r>
    </w:p>
    <w:p w:rsidR="008D76B9" w:rsidRPr="00FC7A12" w:rsidRDefault="0011770A" w:rsidP="00415C07">
      <w:pPr>
        <w:tabs>
          <w:tab w:val="left" w:pos="0"/>
        </w:tabs>
        <w:ind w:left="-180" w:right="-468"/>
        <w:jc w:val="both"/>
        <w:rPr>
          <w:color w:val="000000" w:themeColor="text1"/>
        </w:rPr>
      </w:pPr>
      <w:r w:rsidRPr="00FC7A12">
        <w:rPr>
          <w:color w:val="000000" w:themeColor="text1"/>
          <w:lang w:val="sr-Latn-ME"/>
        </w:rPr>
        <w:tab/>
      </w:r>
      <w:r w:rsidRPr="00FC7A12">
        <w:rPr>
          <w:color w:val="000000" w:themeColor="text1"/>
          <w:lang w:val="sr-Latn-ME"/>
        </w:rPr>
        <w:tab/>
      </w:r>
      <w:r w:rsidR="008D76B9" w:rsidRPr="00FC7A12">
        <w:rPr>
          <w:color w:val="000000" w:themeColor="text1"/>
          <w:lang w:val="sl-SI"/>
        </w:rPr>
        <w:t>U izvještajnom periodu za 2020. godinu Sektor za javne nabavke je, na osnovu Zako</w:t>
      </w:r>
      <w:r w:rsidR="00600C54">
        <w:rPr>
          <w:color w:val="000000" w:themeColor="text1"/>
          <w:lang w:val="sl-SI"/>
        </w:rPr>
        <w:t xml:space="preserve">na o javnim nabavkama, sproveo 13 </w:t>
      </w:r>
      <w:r w:rsidR="008D76B9" w:rsidRPr="00FC7A12">
        <w:rPr>
          <w:color w:val="000000" w:themeColor="text1"/>
        </w:rPr>
        <w:t>otvorenih postupaka, od kojih je jedan uz primjenu okv</w:t>
      </w:r>
      <w:r w:rsidR="00600C54">
        <w:rPr>
          <w:color w:val="000000" w:themeColor="text1"/>
        </w:rPr>
        <w:t>irnog sporazuma na dvije godine</w:t>
      </w:r>
      <w:r w:rsidR="008D76B9" w:rsidRPr="00FC7A12">
        <w:rPr>
          <w:color w:val="000000" w:themeColor="text1"/>
        </w:rPr>
        <w:t>.</w:t>
      </w:r>
    </w:p>
    <w:p w:rsidR="0011770A" w:rsidRPr="00FC7A12" w:rsidRDefault="0011770A" w:rsidP="00415C07">
      <w:pPr>
        <w:ind w:left="-180" w:right="-468" w:firstLine="888"/>
        <w:jc w:val="both"/>
      </w:pPr>
      <w:r w:rsidRPr="00FC7A12">
        <w:t>Tokom cijele godine su sprovođene nabavke malih vrijednosti i jednostavne nabavke, u zavisnosti od potreba organizacionih jedinica, a sve u skladu sa zakonskom proce</w:t>
      </w:r>
      <w:r w:rsidR="00415C07" w:rsidRPr="00FC7A12">
        <w:t xml:space="preserve">durom i usvojenim pravilnikom. </w:t>
      </w:r>
    </w:p>
    <w:p w:rsidR="0011770A" w:rsidRPr="00FC7A12" w:rsidRDefault="00415C07" w:rsidP="00415C07">
      <w:pPr>
        <w:ind w:right="-468"/>
        <w:jc w:val="both"/>
      </w:pPr>
      <w:r w:rsidRPr="00FC7A12">
        <w:t xml:space="preserve">          </w:t>
      </w:r>
      <w:r w:rsidR="0011770A" w:rsidRPr="00FC7A12">
        <w:t>U izvještajnom period n</w:t>
      </w:r>
      <w:r w:rsidRPr="00FC7A12">
        <w:t>ijesu sprovođene hitne nabavke.</w:t>
      </w:r>
    </w:p>
    <w:p w:rsidR="0011770A" w:rsidRDefault="00415C07" w:rsidP="0011770A">
      <w:pPr>
        <w:ind w:left="-180" w:right="-468"/>
        <w:jc w:val="both"/>
        <w:rPr>
          <w:color w:val="000000"/>
        </w:rPr>
      </w:pPr>
      <w:r w:rsidRPr="00FC7A12">
        <w:t xml:space="preserve">             </w:t>
      </w:r>
      <w:r w:rsidR="0011770A" w:rsidRPr="00FC7A12">
        <w:t xml:space="preserve">Pregled  vrijednosti ugovorenih nabavki u ukupnom iznosu od  3.443.349,88 € sa uračunatim PDV-om, po osnovu </w:t>
      </w:r>
      <w:r w:rsidR="0011770A" w:rsidRPr="00FC7A12">
        <w:rPr>
          <w:color w:val="000000"/>
        </w:rPr>
        <w:t>sprovedenih postupaka u periodu od 01.01.2020.</w:t>
      </w:r>
      <w:r w:rsidR="00600C54">
        <w:rPr>
          <w:color w:val="000000"/>
        </w:rPr>
        <w:t xml:space="preserve"> </w:t>
      </w:r>
      <w:r w:rsidR="0011770A" w:rsidRPr="00FC7A12">
        <w:rPr>
          <w:color w:val="000000"/>
        </w:rPr>
        <w:t>godine do 31.12.2020.godine, dat je u tabeli:</w:t>
      </w:r>
    </w:p>
    <w:p w:rsidR="00600C54" w:rsidRDefault="00600C54" w:rsidP="0011770A">
      <w:pPr>
        <w:ind w:left="-180" w:right="-468"/>
        <w:jc w:val="both"/>
        <w:rPr>
          <w:color w:val="000000"/>
        </w:rPr>
      </w:pPr>
    </w:p>
    <w:p w:rsidR="00600C54" w:rsidRPr="00FC7A12" w:rsidRDefault="00600C54" w:rsidP="0011770A">
      <w:pPr>
        <w:ind w:left="-180" w:right="-468"/>
        <w:jc w:val="both"/>
        <w:rPr>
          <w:color w:val="000000"/>
        </w:rPr>
      </w:pPr>
    </w:p>
    <w:p w:rsidR="0011770A" w:rsidRPr="00FC7A12" w:rsidRDefault="0011770A" w:rsidP="0011770A">
      <w:pPr>
        <w:ind w:left="-180" w:right="-468"/>
        <w:jc w:val="both"/>
        <w:rPr>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804"/>
        <w:gridCol w:w="1808"/>
        <w:gridCol w:w="1404"/>
        <w:gridCol w:w="1546"/>
        <w:gridCol w:w="1776"/>
      </w:tblGrid>
      <w:tr w:rsidR="0011770A" w:rsidRPr="00FC7A12" w:rsidTr="003539AC">
        <w:tc>
          <w:tcPr>
            <w:tcW w:w="1238" w:type="dxa"/>
            <w:shd w:val="clear" w:color="auto" w:fill="auto"/>
          </w:tcPr>
          <w:p w:rsidR="0011770A" w:rsidRPr="00FC7A12" w:rsidRDefault="0011770A" w:rsidP="003539AC">
            <w:pPr>
              <w:pStyle w:val="NormalWeb"/>
              <w:spacing w:before="120" w:beforeAutospacing="0" w:after="120" w:afterAutospacing="0" w:line="336" w:lineRule="atLeast"/>
              <w:jc w:val="both"/>
            </w:pPr>
            <w:r w:rsidRPr="00FC7A12">
              <w:lastRenderedPageBreak/>
              <w:t>Period</w:t>
            </w:r>
          </w:p>
        </w:tc>
        <w:tc>
          <w:tcPr>
            <w:tcW w:w="1804" w:type="dxa"/>
            <w:shd w:val="clear" w:color="auto" w:fill="auto"/>
          </w:tcPr>
          <w:p w:rsidR="0011770A" w:rsidRPr="00FC7A12" w:rsidRDefault="0011770A" w:rsidP="003539AC">
            <w:pPr>
              <w:pStyle w:val="NormalWeb"/>
              <w:spacing w:before="120" w:beforeAutospacing="0" w:after="120" w:afterAutospacing="0" w:line="336" w:lineRule="atLeast"/>
              <w:jc w:val="both"/>
            </w:pPr>
            <w:r w:rsidRPr="00FC7A12">
              <w:t xml:space="preserve">Otvoreni postupak  </w:t>
            </w:r>
          </w:p>
        </w:tc>
        <w:tc>
          <w:tcPr>
            <w:tcW w:w="1808" w:type="dxa"/>
            <w:shd w:val="clear" w:color="auto" w:fill="auto"/>
          </w:tcPr>
          <w:p w:rsidR="0011770A" w:rsidRPr="00FC7A12" w:rsidRDefault="0011770A" w:rsidP="003539AC">
            <w:pPr>
              <w:pStyle w:val="NormalWeb"/>
              <w:spacing w:before="120" w:beforeAutospacing="0" w:after="120" w:afterAutospacing="0" w:line="336" w:lineRule="atLeast"/>
              <w:jc w:val="both"/>
            </w:pPr>
            <w:r w:rsidRPr="00FC7A12">
              <w:t>Nabavke male vrijednosti</w:t>
            </w:r>
          </w:p>
        </w:tc>
        <w:tc>
          <w:tcPr>
            <w:tcW w:w="1404" w:type="dxa"/>
            <w:shd w:val="clear" w:color="auto" w:fill="auto"/>
          </w:tcPr>
          <w:p w:rsidR="0011770A" w:rsidRPr="00FC7A12" w:rsidRDefault="0011770A" w:rsidP="003539AC">
            <w:pPr>
              <w:pStyle w:val="NormalWeb"/>
              <w:spacing w:before="120" w:beforeAutospacing="0" w:after="120" w:afterAutospacing="0" w:line="336" w:lineRule="atLeast"/>
              <w:jc w:val="both"/>
            </w:pPr>
            <w:r w:rsidRPr="00FC7A12">
              <w:t>Hitne nabavke</w:t>
            </w:r>
          </w:p>
        </w:tc>
        <w:tc>
          <w:tcPr>
            <w:tcW w:w="1546" w:type="dxa"/>
            <w:shd w:val="clear" w:color="auto" w:fill="auto"/>
          </w:tcPr>
          <w:p w:rsidR="0011770A" w:rsidRPr="00FC7A12" w:rsidRDefault="0011770A" w:rsidP="003539AC">
            <w:pPr>
              <w:jc w:val="both"/>
            </w:pPr>
            <w:r w:rsidRPr="00FC7A12">
              <w:t>Jednostavne nabavke</w:t>
            </w:r>
          </w:p>
        </w:tc>
        <w:tc>
          <w:tcPr>
            <w:tcW w:w="1776" w:type="dxa"/>
            <w:shd w:val="clear" w:color="auto" w:fill="auto"/>
          </w:tcPr>
          <w:p w:rsidR="0011770A" w:rsidRPr="00FC7A12" w:rsidRDefault="0011770A" w:rsidP="003539AC">
            <w:pPr>
              <w:pStyle w:val="NormalWeb"/>
              <w:spacing w:before="120" w:beforeAutospacing="0" w:after="120" w:afterAutospacing="0" w:line="336" w:lineRule="atLeast"/>
              <w:jc w:val="both"/>
            </w:pPr>
            <w:r w:rsidRPr="00FC7A12">
              <w:t>Ukupno</w:t>
            </w:r>
          </w:p>
          <w:p w:rsidR="0011770A" w:rsidRPr="00FC7A12" w:rsidRDefault="0011770A" w:rsidP="003539AC">
            <w:pPr>
              <w:pStyle w:val="NormalWeb"/>
              <w:spacing w:before="120" w:beforeAutospacing="0" w:after="120" w:afterAutospacing="0" w:line="336" w:lineRule="atLeast"/>
              <w:jc w:val="both"/>
            </w:pPr>
          </w:p>
        </w:tc>
      </w:tr>
      <w:tr w:rsidR="0011770A" w:rsidRPr="00FC7A12" w:rsidTr="003539AC">
        <w:tc>
          <w:tcPr>
            <w:tcW w:w="1238" w:type="dxa"/>
            <w:shd w:val="clear" w:color="auto" w:fill="auto"/>
          </w:tcPr>
          <w:p w:rsidR="0011770A" w:rsidRPr="00FC7A12" w:rsidRDefault="0011770A" w:rsidP="003539AC">
            <w:pPr>
              <w:pStyle w:val="NormalWeb"/>
              <w:spacing w:before="120" w:beforeAutospacing="0" w:after="120" w:afterAutospacing="0" w:line="336" w:lineRule="atLeast"/>
              <w:jc w:val="both"/>
            </w:pPr>
            <w:r w:rsidRPr="00FC7A12">
              <w:t>01.01.-07.07.2020.</w:t>
            </w:r>
          </w:p>
        </w:tc>
        <w:tc>
          <w:tcPr>
            <w:tcW w:w="1804" w:type="dxa"/>
            <w:shd w:val="clear" w:color="auto" w:fill="auto"/>
          </w:tcPr>
          <w:p w:rsidR="0011770A" w:rsidRPr="00FC7A12" w:rsidRDefault="0011770A" w:rsidP="003539AC">
            <w:pPr>
              <w:pStyle w:val="NormalWeb"/>
              <w:spacing w:before="120" w:beforeAutospacing="0" w:after="120" w:afterAutospacing="0" w:line="336" w:lineRule="atLeast"/>
              <w:jc w:val="both"/>
            </w:pPr>
            <w:r w:rsidRPr="00FC7A12">
              <w:t>2.214.260,89</w:t>
            </w:r>
          </w:p>
        </w:tc>
        <w:tc>
          <w:tcPr>
            <w:tcW w:w="1808" w:type="dxa"/>
            <w:shd w:val="clear" w:color="auto" w:fill="auto"/>
          </w:tcPr>
          <w:p w:rsidR="0011770A" w:rsidRPr="00FC7A12" w:rsidRDefault="0011770A" w:rsidP="003539AC">
            <w:pPr>
              <w:pStyle w:val="NormalWeb"/>
              <w:spacing w:before="120" w:beforeAutospacing="0" w:after="120" w:afterAutospacing="0" w:line="336" w:lineRule="atLeast"/>
              <w:jc w:val="both"/>
            </w:pPr>
            <w:r w:rsidRPr="00FC7A12">
              <w:t>163.565,39</w:t>
            </w:r>
          </w:p>
        </w:tc>
        <w:tc>
          <w:tcPr>
            <w:tcW w:w="1404" w:type="dxa"/>
            <w:shd w:val="clear" w:color="auto" w:fill="auto"/>
          </w:tcPr>
          <w:p w:rsidR="0011770A" w:rsidRPr="00FC7A12" w:rsidRDefault="0011770A" w:rsidP="003539AC">
            <w:pPr>
              <w:pStyle w:val="NormalWeb"/>
              <w:spacing w:before="120" w:beforeAutospacing="0" w:after="120" w:afterAutospacing="0" w:line="336" w:lineRule="atLeast"/>
              <w:jc w:val="both"/>
            </w:pPr>
            <w:r w:rsidRPr="00FC7A12">
              <w:t>0</w:t>
            </w:r>
          </w:p>
        </w:tc>
        <w:tc>
          <w:tcPr>
            <w:tcW w:w="1546" w:type="dxa"/>
            <w:shd w:val="clear" w:color="auto" w:fill="auto"/>
          </w:tcPr>
          <w:p w:rsidR="0011770A" w:rsidRPr="00FC7A12" w:rsidRDefault="0011770A" w:rsidP="003539AC">
            <w:pPr>
              <w:jc w:val="both"/>
            </w:pPr>
            <w:r w:rsidRPr="00FC7A12">
              <w:t>Ne postoji kao postupak</w:t>
            </w:r>
          </w:p>
        </w:tc>
        <w:tc>
          <w:tcPr>
            <w:tcW w:w="1776" w:type="dxa"/>
            <w:shd w:val="clear" w:color="auto" w:fill="auto"/>
          </w:tcPr>
          <w:p w:rsidR="0011770A" w:rsidRPr="00FC7A12" w:rsidRDefault="0011770A" w:rsidP="003539AC">
            <w:pPr>
              <w:pStyle w:val="NormalWeb"/>
              <w:spacing w:before="120" w:beforeAutospacing="0" w:after="120" w:afterAutospacing="0" w:line="336" w:lineRule="atLeast"/>
              <w:jc w:val="both"/>
            </w:pPr>
            <w:r w:rsidRPr="00FC7A12">
              <w:t>2.377.826,28</w:t>
            </w:r>
          </w:p>
        </w:tc>
      </w:tr>
      <w:tr w:rsidR="0011770A" w:rsidRPr="00FC7A12" w:rsidTr="003539AC">
        <w:tc>
          <w:tcPr>
            <w:tcW w:w="1238" w:type="dxa"/>
            <w:shd w:val="clear" w:color="auto" w:fill="auto"/>
          </w:tcPr>
          <w:p w:rsidR="0011770A" w:rsidRPr="00FC7A12" w:rsidRDefault="0011770A" w:rsidP="003539AC">
            <w:pPr>
              <w:pStyle w:val="NormalWeb"/>
              <w:spacing w:before="120" w:beforeAutospacing="0" w:after="120" w:afterAutospacing="0" w:line="336" w:lineRule="atLeast"/>
              <w:jc w:val="both"/>
            </w:pPr>
            <w:r w:rsidRPr="00FC7A12">
              <w:t>07.07.-31.12.2020.</w:t>
            </w:r>
          </w:p>
        </w:tc>
        <w:tc>
          <w:tcPr>
            <w:tcW w:w="1804" w:type="dxa"/>
            <w:shd w:val="clear" w:color="auto" w:fill="auto"/>
          </w:tcPr>
          <w:p w:rsidR="0011770A" w:rsidRPr="00FC7A12" w:rsidRDefault="0011770A" w:rsidP="003539AC">
            <w:pPr>
              <w:pStyle w:val="NormalWeb"/>
              <w:spacing w:before="120" w:beforeAutospacing="0" w:after="120" w:afterAutospacing="0" w:line="336" w:lineRule="atLeast"/>
              <w:jc w:val="both"/>
            </w:pPr>
            <w:r w:rsidRPr="00FC7A12">
              <w:t>840.576,11</w:t>
            </w:r>
          </w:p>
        </w:tc>
        <w:tc>
          <w:tcPr>
            <w:tcW w:w="1808" w:type="dxa"/>
            <w:shd w:val="clear" w:color="auto" w:fill="auto"/>
          </w:tcPr>
          <w:p w:rsidR="0011770A" w:rsidRPr="00FC7A12" w:rsidRDefault="0011770A" w:rsidP="003539AC">
            <w:pPr>
              <w:pStyle w:val="NormalWeb"/>
              <w:spacing w:before="120" w:beforeAutospacing="0" w:after="120" w:afterAutospacing="0" w:line="336" w:lineRule="atLeast"/>
              <w:jc w:val="both"/>
            </w:pPr>
            <w:r w:rsidRPr="00FC7A12">
              <w:t>Ne postoji kao postupak</w:t>
            </w:r>
          </w:p>
        </w:tc>
        <w:tc>
          <w:tcPr>
            <w:tcW w:w="1404" w:type="dxa"/>
            <w:shd w:val="clear" w:color="auto" w:fill="auto"/>
          </w:tcPr>
          <w:p w:rsidR="0011770A" w:rsidRPr="00FC7A12" w:rsidRDefault="0011770A" w:rsidP="003539AC">
            <w:pPr>
              <w:pStyle w:val="NormalWeb"/>
              <w:spacing w:before="120" w:beforeAutospacing="0" w:after="120" w:afterAutospacing="0" w:line="336" w:lineRule="atLeast"/>
              <w:jc w:val="both"/>
            </w:pPr>
            <w:r w:rsidRPr="00FC7A12">
              <w:t>Ne postoji kao postupak</w:t>
            </w:r>
          </w:p>
        </w:tc>
        <w:tc>
          <w:tcPr>
            <w:tcW w:w="1546" w:type="dxa"/>
            <w:shd w:val="clear" w:color="auto" w:fill="auto"/>
          </w:tcPr>
          <w:p w:rsidR="0011770A" w:rsidRPr="00FC7A12" w:rsidRDefault="0011770A" w:rsidP="003539AC">
            <w:pPr>
              <w:jc w:val="both"/>
            </w:pPr>
            <w:r w:rsidRPr="00FC7A12">
              <w:t>224.947,49</w:t>
            </w:r>
          </w:p>
        </w:tc>
        <w:tc>
          <w:tcPr>
            <w:tcW w:w="1776" w:type="dxa"/>
            <w:shd w:val="clear" w:color="auto" w:fill="auto"/>
          </w:tcPr>
          <w:p w:rsidR="0011770A" w:rsidRPr="00FC7A12" w:rsidRDefault="0011770A" w:rsidP="003539AC">
            <w:pPr>
              <w:pStyle w:val="NormalWeb"/>
              <w:spacing w:before="120" w:beforeAutospacing="0" w:after="120" w:afterAutospacing="0" w:line="336" w:lineRule="atLeast"/>
              <w:jc w:val="both"/>
            </w:pPr>
            <w:r w:rsidRPr="00FC7A12">
              <w:t>1.065.523,60</w:t>
            </w:r>
          </w:p>
        </w:tc>
      </w:tr>
      <w:tr w:rsidR="0011770A" w:rsidRPr="00FC7A12" w:rsidTr="003539AC">
        <w:tc>
          <w:tcPr>
            <w:tcW w:w="1238" w:type="dxa"/>
            <w:shd w:val="clear" w:color="auto" w:fill="auto"/>
          </w:tcPr>
          <w:p w:rsidR="0011770A" w:rsidRPr="00FC7A12" w:rsidRDefault="0011770A" w:rsidP="003539AC">
            <w:pPr>
              <w:pStyle w:val="NormalWeb"/>
              <w:spacing w:before="120" w:beforeAutospacing="0" w:after="120" w:afterAutospacing="0" w:line="336" w:lineRule="atLeast"/>
              <w:jc w:val="both"/>
            </w:pPr>
            <w:r w:rsidRPr="00FC7A12">
              <w:t>Ukupno</w:t>
            </w:r>
          </w:p>
        </w:tc>
        <w:tc>
          <w:tcPr>
            <w:tcW w:w="1804" w:type="dxa"/>
            <w:shd w:val="clear" w:color="auto" w:fill="auto"/>
          </w:tcPr>
          <w:p w:rsidR="0011770A" w:rsidRPr="00FC7A12" w:rsidRDefault="0011770A" w:rsidP="003539AC">
            <w:pPr>
              <w:pStyle w:val="NormalWeb"/>
              <w:spacing w:before="120" w:beforeAutospacing="0" w:after="120" w:afterAutospacing="0" w:line="336" w:lineRule="atLeast"/>
              <w:jc w:val="both"/>
            </w:pPr>
            <w:r w:rsidRPr="00FC7A12">
              <w:t>3.054.837,00</w:t>
            </w:r>
          </w:p>
        </w:tc>
        <w:tc>
          <w:tcPr>
            <w:tcW w:w="1808" w:type="dxa"/>
            <w:shd w:val="clear" w:color="auto" w:fill="auto"/>
          </w:tcPr>
          <w:p w:rsidR="0011770A" w:rsidRPr="00FC7A12" w:rsidRDefault="0011770A" w:rsidP="003539AC">
            <w:pPr>
              <w:pStyle w:val="NormalWeb"/>
              <w:spacing w:before="120" w:beforeAutospacing="0" w:after="120" w:afterAutospacing="0" w:line="336" w:lineRule="atLeast"/>
              <w:jc w:val="both"/>
            </w:pPr>
            <w:r w:rsidRPr="00FC7A12">
              <w:t>163.565,39</w:t>
            </w:r>
          </w:p>
        </w:tc>
        <w:tc>
          <w:tcPr>
            <w:tcW w:w="1404" w:type="dxa"/>
            <w:shd w:val="clear" w:color="auto" w:fill="auto"/>
          </w:tcPr>
          <w:p w:rsidR="0011770A" w:rsidRPr="00FC7A12" w:rsidRDefault="0011770A" w:rsidP="003539AC">
            <w:pPr>
              <w:pStyle w:val="NormalWeb"/>
              <w:spacing w:before="120" w:beforeAutospacing="0" w:after="120" w:afterAutospacing="0" w:line="336" w:lineRule="atLeast"/>
              <w:jc w:val="both"/>
            </w:pPr>
            <w:r w:rsidRPr="00FC7A12">
              <w:t>0</w:t>
            </w:r>
          </w:p>
        </w:tc>
        <w:tc>
          <w:tcPr>
            <w:tcW w:w="1546" w:type="dxa"/>
            <w:shd w:val="clear" w:color="auto" w:fill="auto"/>
          </w:tcPr>
          <w:p w:rsidR="0011770A" w:rsidRPr="00FC7A12" w:rsidRDefault="0011770A" w:rsidP="003539AC">
            <w:pPr>
              <w:jc w:val="both"/>
            </w:pPr>
            <w:r w:rsidRPr="00FC7A12">
              <w:t>224.947,49</w:t>
            </w:r>
          </w:p>
        </w:tc>
        <w:tc>
          <w:tcPr>
            <w:tcW w:w="1776" w:type="dxa"/>
            <w:shd w:val="clear" w:color="auto" w:fill="auto"/>
          </w:tcPr>
          <w:p w:rsidR="0011770A" w:rsidRPr="00FC7A12" w:rsidRDefault="0011770A" w:rsidP="003539AC">
            <w:pPr>
              <w:pStyle w:val="NormalWeb"/>
              <w:spacing w:before="120" w:beforeAutospacing="0" w:after="120" w:afterAutospacing="0" w:line="336" w:lineRule="atLeast"/>
              <w:jc w:val="both"/>
            </w:pPr>
            <w:r w:rsidRPr="00FC7A12">
              <w:t>3.443.349,88</w:t>
            </w:r>
          </w:p>
        </w:tc>
      </w:tr>
    </w:tbl>
    <w:p w:rsidR="0011770A" w:rsidRPr="00FC7A12" w:rsidRDefault="0011770A" w:rsidP="0011770A">
      <w:pPr>
        <w:pStyle w:val="NormalWeb"/>
        <w:shd w:val="clear" w:color="auto" w:fill="FFFFFF"/>
        <w:spacing w:before="0" w:beforeAutospacing="0" w:after="0" w:afterAutospacing="0"/>
        <w:jc w:val="both"/>
      </w:pPr>
    </w:p>
    <w:p w:rsidR="00404B95" w:rsidRPr="00FC7A12" w:rsidRDefault="00404B95" w:rsidP="00404B95">
      <w:pPr>
        <w:pStyle w:val="NormalWeb"/>
        <w:shd w:val="clear" w:color="auto" w:fill="FFFFFF"/>
        <w:spacing w:before="0" w:beforeAutospacing="0" w:after="0" w:afterAutospacing="0"/>
        <w:ind w:firstLine="708"/>
        <w:jc w:val="both"/>
      </w:pPr>
      <w:r w:rsidRPr="00FC7A12">
        <w:t>Za tri otvorena postupka javne nabavke, započeta u 2020.</w:t>
      </w:r>
      <w:r w:rsidR="00600C54">
        <w:t xml:space="preserve"> </w:t>
      </w:r>
      <w:r w:rsidRPr="00FC7A12">
        <w:t>godini zaključiće se, nakon okončanja postupaka</w:t>
      </w:r>
      <w:r w:rsidR="00600C54">
        <w:t>,</w:t>
      </w:r>
      <w:r w:rsidRPr="00FC7A12">
        <w:t xml:space="preserve"> ugovori  u 2021.</w:t>
      </w:r>
      <w:r w:rsidR="00600C54">
        <w:t xml:space="preserve"> </w:t>
      </w:r>
      <w:r w:rsidRPr="00FC7A12">
        <w:t>godini i to za:</w:t>
      </w:r>
    </w:p>
    <w:p w:rsidR="00404B95" w:rsidRPr="00FC7A12" w:rsidRDefault="00404B95" w:rsidP="00404B95">
      <w:pPr>
        <w:pStyle w:val="NormalWeb"/>
        <w:shd w:val="clear" w:color="auto" w:fill="FFFFFF"/>
        <w:spacing w:before="0" w:beforeAutospacing="0" w:after="0" w:afterAutospacing="0"/>
        <w:ind w:firstLine="720"/>
        <w:jc w:val="both"/>
      </w:pPr>
      <w:r w:rsidRPr="00FC7A12">
        <w:t>-nabavku goriva za grijanje procijenjene vrijednosti u iznosu od 96.085,00</w:t>
      </w:r>
      <w:r w:rsidR="00600C54">
        <w:t xml:space="preserve"> €</w:t>
      </w:r>
      <w:r w:rsidRPr="00FC7A12">
        <w:t xml:space="preserve"> sa uračunatim PDV-om,</w:t>
      </w:r>
    </w:p>
    <w:p w:rsidR="00404B95" w:rsidRPr="00FC7A12" w:rsidRDefault="00404B95" w:rsidP="00404B95">
      <w:pPr>
        <w:pStyle w:val="NormalWeb"/>
        <w:shd w:val="clear" w:color="auto" w:fill="FFFFFF"/>
        <w:spacing w:before="0" w:beforeAutospacing="0" w:after="0" w:afterAutospacing="0"/>
        <w:ind w:firstLine="720"/>
        <w:jc w:val="both"/>
      </w:pPr>
      <w:r w:rsidRPr="00FC7A12">
        <w:t>-nabavku odijela za prilaz vatri procijenj</w:t>
      </w:r>
      <w:r w:rsidR="00600C54">
        <w:t xml:space="preserve">ene vrijednosti u iznosu od </w:t>
      </w:r>
      <w:r w:rsidRPr="00FC7A12">
        <w:t xml:space="preserve">65.550,00 </w:t>
      </w:r>
      <w:r w:rsidR="00600C54">
        <w:t xml:space="preserve">€ </w:t>
      </w:r>
      <w:r w:rsidRPr="00FC7A12">
        <w:t>sa uračunatim PDV-om,</w:t>
      </w:r>
    </w:p>
    <w:p w:rsidR="00404B95" w:rsidRPr="00FC7A12" w:rsidRDefault="00404B95" w:rsidP="00404B95">
      <w:pPr>
        <w:pStyle w:val="NormalWeb"/>
        <w:shd w:val="clear" w:color="auto" w:fill="FFFFFF"/>
        <w:spacing w:before="0" w:beforeAutospacing="0" w:after="0" w:afterAutospacing="0"/>
        <w:ind w:firstLine="720"/>
        <w:jc w:val="both"/>
      </w:pPr>
      <w:r w:rsidRPr="00FC7A12">
        <w:t>-nabavku led svjetiljki procijenjene vrijednosti u iznosu od 51.000,00</w:t>
      </w:r>
      <w:r w:rsidR="00600C54">
        <w:t xml:space="preserve"> €</w:t>
      </w:r>
      <w:r w:rsidRPr="00FC7A12">
        <w:t xml:space="preserve"> sa uračunatim PDV-om.</w:t>
      </w:r>
    </w:p>
    <w:p w:rsidR="008D76B9" w:rsidRPr="00FC7A12" w:rsidRDefault="008D76B9" w:rsidP="00415C07">
      <w:pPr>
        <w:tabs>
          <w:tab w:val="left" w:pos="0"/>
        </w:tabs>
        <w:ind w:right="-468"/>
        <w:jc w:val="both"/>
        <w:rPr>
          <w:color w:val="000000" w:themeColor="text1"/>
        </w:rPr>
      </w:pPr>
    </w:p>
    <w:p w:rsidR="00E525CB" w:rsidRPr="00FC7A12" w:rsidRDefault="00E525CB" w:rsidP="00E34D60">
      <w:pPr>
        <w:jc w:val="both"/>
      </w:pPr>
    </w:p>
    <w:p w:rsidR="007A6607" w:rsidRPr="00FC7A12" w:rsidRDefault="001E0992" w:rsidP="00E34D60">
      <w:pPr>
        <w:jc w:val="center"/>
      </w:pPr>
      <w:r w:rsidRPr="00FC7A12">
        <w:t>***</w:t>
      </w:r>
    </w:p>
    <w:p w:rsidR="001E0992" w:rsidRPr="00FC7A12" w:rsidRDefault="001E0992" w:rsidP="00E34D60">
      <w:pPr>
        <w:jc w:val="both"/>
      </w:pPr>
    </w:p>
    <w:p w:rsidR="001E0992" w:rsidRPr="00FC7A12" w:rsidRDefault="001E0992" w:rsidP="00E34D60">
      <w:pPr>
        <w:ind w:firstLine="708"/>
        <w:jc w:val="both"/>
      </w:pPr>
      <w:r w:rsidRPr="00FC7A12">
        <w:t xml:space="preserve">U proteklom periodu </w:t>
      </w:r>
      <w:r w:rsidRPr="00FC7A12">
        <w:rPr>
          <w:b/>
          <w:bCs/>
        </w:rPr>
        <w:t>Uprava lokalnih javnih prihoda</w:t>
      </w:r>
      <w:r w:rsidRPr="00FC7A12">
        <w:t xml:space="preserve"> vršila je </w:t>
      </w:r>
      <w:r w:rsidR="00600C54">
        <w:t>naplatu lokalnih javnih prihoda</w:t>
      </w:r>
      <w:r w:rsidRPr="00FC7A12">
        <w:t xml:space="preserve"> u skladu sa propisima i uz efikasnu kontrolu.</w:t>
      </w:r>
    </w:p>
    <w:p w:rsidR="00A23C49" w:rsidRPr="00FC7A12" w:rsidRDefault="00A23C49" w:rsidP="00E34D60">
      <w:pPr>
        <w:ind w:firstLine="708"/>
      </w:pPr>
      <w:r w:rsidRPr="00FC7A12">
        <w:t>Zadaci ove Uprave su formiranje, ažuriranje baze podataka poreskih obveznika i pružanje brzih i kvalitetnih usluga poreskim obveznicima i građanima.</w:t>
      </w:r>
    </w:p>
    <w:p w:rsidR="00E525CB" w:rsidRPr="00FC7A12" w:rsidRDefault="00E525CB" w:rsidP="00E34D60">
      <w:pPr>
        <w:jc w:val="both"/>
      </w:pPr>
    </w:p>
    <w:p w:rsidR="00E525CB" w:rsidRPr="00FC7A12" w:rsidRDefault="00E525CB" w:rsidP="00E34D60">
      <w:pPr>
        <w:autoSpaceDE w:val="0"/>
        <w:autoSpaceDN w:val="0"/>
        <w:adjustRightInd w:val="0"/>
        <w:spacing w:after="200"/>
        <w:ind w:firstLine="708"/>
      </w:pPr>
      <w:r w:rsidRPr="00FC7A12">
        <w:rPr>
          <w:lang w:val="en-US"/>
        </w:rPr>
        <w:t xml:space="preserve">Lokalni javni prihodi </w:t>
      </w:r>
      <w:r w:rsidRPr="00FC7A12">
        <w:t>čije se utvrđivanje vrši u Upravi loka</w:t>
      </w:r>
      <w:r w:rsidR="003D6F04">
        <w:t>l</w:t>
      </w:r>
      <w:r w:rsidRPr="00FC7A12">
        <w:t>nih javnih prihoda su:</w:t>
      </w:r>
    </w:p>
    <w:p w:rsidR="00A23C49" w:rsidRPr="00FC7A12" w:rsidRDefault="0012614C" w:rsidP="00570B2F">
      <w:pPr>
        <w:pStyle w:val="ListParagraph"/>
        <w:numPr>
          <w:ilvl w:val="0"/>
          <w:numId w:val="13"/>
        </w:numPr>
      </w:pPr>
      <w:r w:rsidRPr="00FC7A12">
        <w:t>Porez</w:t>
      </w:r>
      <w:r w:rsidR="00A23C49" w:rsidRPr="00FC7A12">
        <w:t xml:space="preserve"> na nepokretnosti za pravna i fizička lica</w:t>
      </w:r>
    </w:p>
    <w:p w:rsidR="00A23C49" w:rsidRPr="00FC7A12" w:rsidRDefault="00A23C49" w:rsidP="00570B2F">
      <w:pPr>
        <w:pStyle w:val="ListParagraph"/>
        <w:numPr>
          <w:ilvl w:val="0"/>
          <w:numId w:val="13"/>
        </w:numPr>
      </w:pPr>
      <w:r w:rsidRPr="00FC7A12">
        <w:t>Porez na neizgrađeno građevinsko zemljište</w:t>
      </w:r>
    </w:p>
    <w:p w:rsidR="00A23C49" w:rsidRPr="00FC7A12" w:rsidRDefault="00A23C49" w:rsidP="00570B2F">
      <w:pPr>
        <w:pStyle w:val="ListParagraph"/>
        <w:numPr>
          <w:ilvl w:val="0"/>
          <w:numId w:val="13"/>
        </w:numPr>
      </w:pPr>
      <w:r w:rsidRPr="00FC7A12">
        <w:t>Komunalne takse za privređivanje muzike u ugostiteljskim objektima</w:t>
      </w:r>
    </w:p>
    <w:p w:rsidR="00A23C49" w:rsidRPr="00FC7A12" w:rsidRDefault="00A23C49" w:rsidP="00570B2F">
      <w:pPr>
        <w:pStyle w:val="ListParagraph"/>
        <w:numPr>
          <w:ilvl w:val="0"/>
          <w:numId w:val="13"/>
        </w:numPr>
      </w:pPr>
      <w:r w:rsidRPr="00FC7A12">
        <w:t>Komunalne takse za držanje asfaltnih betonskih baza, držanje baza za drobljenje i preradu kamena i proizvodnju pijeska i držanje brenti, gatera i cirkulara za rezanje građe</w:t>
      </w:r>
    </w:p>
    <w:p w:rsidR="00A23C49" w:rsidRPr="00FC7A12" w:rsidRDefault="00A23C49" w:rsidP="00570B2F">
      <w:pPr>
        <w:pStyle w:val="ListParagraph"/>
        <w:numPr>
          <w:ilvl w:val="0"/>
          <w:numId w:val="13"/>
        </w:numPr>
        <w:outlineLvl w:val="0"/>
      </w:pPr>
      <w:r w:rsidRPr="00FC7A12">
        <w:t>Članski doprinosi TO Nikšić</w:t>
      </w:r>
    </w:p>
    <w:p w:rsidR="00A23C49" w:rsidRPr="00FC7A12" w:rsidRDefault="00A23C49" w:rsidP="00570B2F">
      <w:pPr>
        <w:pStyle w:val="ListParagraph"/>
        <w:numPr>
          <w:ilvl w:val="0"/>
          <w:numId w:val="13"/>
        </w:numPr>
      </w:pPr>
      <w:r w:rsidRPr="00FC7A12">
        <w:t>Naknada za postavljanje cjevovoda, vodovoda, kanalizacije, električnih, telegrafskih i     drugih vodova na i pored opštinskih i nekategorisanih puteva</w:t>
      </w:r>
    </w:p>
    <w:p w:rsidR="00A23C49" w:rsidRPr="00FC7A12" w:rsidRDefault="00A23C49" w:rsidP="00570B2F">
      <w:pPr>
        <w:pStyle w:val="ListParagraph"/>
        <w:numPr>
          <w:ilvl w:val="0"/>
          <w:numId w:val="13"/>
        </w:numPr>
      </w:pPr>
      <w:r w:rsidRPr="00FC7A12">
        <w:t>Naknada za korišćenje komercijalnih obekata kojima je omogućen pristup sa puta</w:t>
      </w:r>
    </w:p>
    <w:p w:rsidR="00A23C49" w:rsidRPr="00FC7A12" w:rsidRDefault="00A23C49" w:rsidP="00570B2F">
      <w:pPr>
        <w:pStyle w:val="ListParagraph"/>
        <w:numPr>
          <w:ilvl w:val="0"/>
          <w:numId w:val="13"/>
        </w:numPr>
      </w:pPr>
      <w:r w:rsidRPr="00FC7A12">
        <w:t>Naknada za komunalno opremanje građevinskog zemljišta-bespravni objekti</w:t>
      </w:r>
    </w:p>
    <w:p w:rsidR="00A23C49" w:rsidRPr="00FC7A12" w:rsidRDefault="00A23C49" w:rsidP="00570B2F">
      <w:pPr>
        <w:pStyle w:val="ListParagraph"/>
        <w:numPr>
          <w:ilvl w:val="0"/>
          <w:numId w:val="13"/>
        </w:numPr>
        <w:jc w:val="both"/>
      </w:pPr>
      <w:r w:rsidRPr="00FC7A12">
        <w:t>Naknada za komunalno opremanje građevinskog zemljišta.</w:t>
      </w:r>
    </w:p>
    <w:p w:rsidR="0088124A" w:rsidRPr="00FC7A12" w:rsidRDefault="00500010" w:rsidP="001E6594">
      <w:pPr>
        <w:ind w:left="360" w:firstLine="348"/>
        <w:jc w:val="both"/>
        <w:rPr>
          <w:color w:val="000000"/>
        </w:rPr>
      </w:pPr>
      <w:r>
        <w:rPr>
          <w:color w:val="000000"/>
        </w:rPr>
        <w:t>U 2020 godini donesena</w:t>
      </w:r>
      <w:r w:rsidR="0088124A" w:rsidRPr="00FC7A12">
        <w:rPr>
          <w:color w:val="000000"/>
        </w:rPr>
        <w:t xml:space="preserve"> su 304 rješenja za  poreskog obveznika u ukupnom iznosu </w:t>
      </w:r>
      <w:r w:rsidR="0088124A" w:rsidRPr="00FC7A12">
        <w:rPr>
          <w:b/>
          <w:color w:val="000000"/>
        </w:rPr>
        <w:t xml:space="preserve"> </w:t>
      </w:r>
      <w:r w:rsidR="0088124A" w:rsidRPr="00FC7A12">
        <w:rPr>
          <w:color w:val="000000"/>
        </w:rPr>
        <w:t>4.564.041,79</w:t>
      </w:r>
      <w:r w:rsidR="0088124A" w:rsidRPr="00FC7A12">
        <w:rPr>
          <w:b/>
          <w:color w:val="000000"/>
        </w:rPr>
        <w:t xml:space="preserve">   </w:t>
      </w:r>
      <w:r w:rsidR="0088124A" w:rsidRPr="00FC7A12">
        <w:rPr>
          <w:color w:val="000000"/>
        </w:rPr>
        <w:t>€.</w:t>
      </w:r>
    </w:p>
    <w:p w:rsidR="0088124A" w:rsidRPr="00FC7A12" w:rsidRDefault="0088124A" w:rsidP="001E6594">
      <w:pPr>
        <w:ind w:firstLine="708"/>
        <w:jc w:val="both"/>
      </w:pPr>
      <w:r w:rsidRPr="00FC7A12">
        <w:lastRenderedPageBreak/>
        <w:t xml:space="preserve">Po osnovu poreza na nepokretnosti za fizička lica, zaduženo je 30720                                                                                                                                                                                                           </w:t>
      </w:r>
      <w:r w:rsidRPr="00FC7A12">
        <w:rPr>
          <w:color w:val="000000"/>
        </w:rPr>
        <w:t xml:space="preserve"> </w:t>
      </w:r>
      <w:r w:rsidRPr="00FC7A12">
        <w:t>obveznika za građevinske objekte i 21716  obveznika za poljoprivredno zemljište. Iznos utvrđenog poreza po ovom osnovu u 2020</w:t>
      </w:r>
      <w:r w:rsidR="00500010">
        <w:t>.</w:t>
      </w:r>
      <w:r w:rsidRPr="00FC7A12">
        <w:t xml:space="preserve"> godini iznosi</w:t>
      </w:r>
      <w:r w:rsidR="00500010">
        <w:t>o je</w:t>
      </w:r>
      <w:r w:rsidRPr="00FC7A12">
        <w:t xml:space="preserve"> 1.395.489,63€ od čega je</w:t>
      </w:r>
      <w:r w:rsidRPr="00FC7A12">
        <w:rPr>
          <w:color w:val="000000"/>
        </w:rPr>
        <w:t xml:space="preserve"> 1.057.094,13</w:t>
      </w:r>
      <w:r w:rsidR="00500010">
        <w:rPr>
          <w:color w:val="000000"/>
        </w:rPr>
        <w:t xml:space="preserve"> </w:t>
      </w:r>
      <w:r w:rsidRPr="00FC7A12">
        <w:t>€ iznos zaduženja koji se odnosi na građevinske objekte, a 338.395,50</w:t>
      </w:r>
      <w:r w:rsidRPr="00FC7A12">
        <w:rPr>
          <w:color w:val="000000"/>
        </w:rPr>
        <w:t xml:space="preserve"> </w:t>
      </w:r>
      <w:r w:rsidRPr="00FC7A12">
        <w:t>€ iznos zaduženja koji se odnosi na poljoprivredno zemljište. 2.560</w:t>
      </w:r>
      <w:r w:rsidRPr="00FC7A12">
        <w:rPr>
          <w:color w:val="FF0000"/>
        </w:rPr>
        <w:t xml:space="preserve"> </w:t>
      </w:r>
      <w:r w:rsidR="00500010" w:rsidRPr="00500010">
        <w:rPr>
          <w:color w:val="000000" w:themeColor="text1"/>
        </w:rPr>
        <w:t>rješenja</w:t>
      </w:r>
      <w:r w:rsidR="00500010">
        <w:rPr>
          <w:color w:val="FF0000"/>
        </w:rPr>
        <w:t xml:space="preserve"> </w:t>
      </w:r>
      <w:r w:rsidRPr="00FC7A12">
        <w:t xml:space="preserve">čiji je iznos manji od 0,50 € nije štampan. </w:t>
      </w:r>
    </w:p>
    <w:p w:rsidR="0088124A" w:rsidRPr="00FC7A12" w:rsidRDefault="00A23C49" w:rsidP="001E6594">
      <w:pPr>
        <w:ind w:firstLine="708"/>
        <w:jc w:val="both"/>
      </w:pPr>
      <w:r w:rsidRPr="00FC7A12">
        <w:t xml:space="preserve">U okviru aktivnosti koje su se sprovodile po ovom </w:t>
      </w:r>
      <w:r w:rsidR="0088124A" w:rsidRPr="00FC7A12">
        <w:t>osnovu u 2020</w:t>
      </w:r>
      <w:r w:rsidR="0012614C" w:rsidRPr="00FC7A12">
        <w:t>.</w:t>
      </w:r>
      <w:r w:rsidRPr="00FC7A12">
        <w:t xml:space="preserve"> godini svakodnevno se ažurirala baza poreskih obveznika (na osnovu dostavljenih ugovora i rješenja od strane notara, dostavljenih poreskih prijava kao i usklađivanja baze podataka od strane ovog organa po službenoj dužnosti sa podacima Uprave za nekretnine PJ Nikšić) p</w:t>
      </w:r>
      <w:r w:rsidR="0088124A" w:rsidRPr="00FC7A12">
        <w:t>a je po tom osnovu izvršeno 500</w:t>
      </w:r>
      <w:r w:rsidRPr="00FC7A12">
        <w:t xml:space="preserve"> promjena koje su se odnosi</w:t>
      </w:r>
      <w:r w:rsidR="0088124A" w:rsidRPr="00FC7A12">
        <w:t>le na građevinske objekte i 3</w:t>
      </w:r>
      <w:r w:rsidR="00500010">
        <w:t>.</w:t>
      </w:r>
      <w:r w:rsidR="0088124A" w:rsidRPr="00FC7A12">
        <w:t>5</w:t>
      </w:r>
      <w:r w:rsidR="00126DC2" w:rsidRPr="00FC7A12">
        <w:t>00</w:t>
      </w:r>
      <w:r w:rsidRPr="00FC7A12">
        <w:t xml:space="preserve"> promjena koje su se odnosile na poljoprivredno  zemljište.</w:t>
      </w:r>
      <w:r w:rsidR="00126DC2" w:rsidRPr="00FC7A12">
        <w:t xml:space="preserve"> Za gra</w:t>
      </w:r>
      <w:r w:rsidR="0088124A" w:rsidRPr="00FC7A12">
        <w:t>đevinske objekte doneseno je 84</w:t>
      </w:r>
      <w:r w:rsidR="00126DC2" w:rsidRPr="00FC7A12">
        <w:t xml:space="preserve"> retroaktivnih rje</w:t>
      </w:r>
      <w:r w:rsidR="0088124A" w:rsidRPr="00FC7A12">
        <w:t>šenja, a naknadno su donesena 32</w:t>
      </w:r>
      <w:r w:rsidR="00126DC2" w:rsidRPr="00FC7A12">
        <w:t xml:space="preserve"> rješenja po poreskoj procjeni.</w:t>
      </w:r>
      <w:r w:rsidR="0088124A" w:rsidRPr="00FC7A12">
        <w:t xml:space="preserve"> Za poljoprivredno zemljište doneseno je  13  retroaktivnih rješenja. Stornirano je 1</w:t>
      </w:r>
      <w:r w:rsidR="00500010">
        <w:t>.</w:t>
      </w:r>
      <w:r w:rsidR="0088124A" w:rsidRPr="00FC7A12">
        <w:t>200 rješenja koja su oglašena ništavnim.</w:t>
      </w:r>
    </w:p>
    <w:p w:rsidR="0088124A" w:rsidRPr="00FC7A12" w:rsidRDefault="0088124A" w:rsidP="0088124A">
      <w:pPr>
        <w:ind w:firstLine="708"/>
        <w:jc w:val="both"/>
        <w:rPr>
          <w:i/>
        </w:rPr>
      </w:pPr>
      <w:r w:rsidRPr="00FC7A12">
        <w:t xml:space="preserve">Po osnovu poreza na neizgrađeno građevinsko zemljište na teritoriji Opštine Nikšić donesena su  93 rješenja u ukupnom iznosu </w:t>
      </w:r>
      <w:r w:rsidRPr="00FC7A12">
        <w:rPr>
          <w:b/>
        </w:rPr>
        <w:t xml:space="preserve"> </w:t>
      </w:r>
      <w:r w:rsidRPr="00FC7A12">
        <w:rPr>
          <w:bCs/>
        </w:rPr>
        <w:t>13</w:t>
      </w:r>
      <w:r w:rsidR="00500010">
        <w:rPr>
          <w:bCs/>
        </w:rPr>
        <w:t>.</w:t>
      </w:r>
      <w:r w:rsidRPr="00FC7A12">
        <w:rPr>
          <w:bCs/>
        </w:rPr>
        <w:t>076,10</w:t>
      </w:r>
      <w:r w:rsidRPr="00FC7A12">
        <w:rPr>
          <w:b/>
        </w:rPr>
        <w:t xml:space="preserve"> </w:t>
      </w:r>
      <w:r w:rsidRPr="00FC7A12">
        <w:t>€. Izjavljena je jedna žalba koja je odbijena od strane prvostepenog organa zbog neblagovremenosti.</w:t>
      </w:r>
    </w:p>
    <w:p w:rsidR="0088124A" w:rsidRPr="00FC7A12" w:rsidRDefault="00500010" w:rsidP="0088124A">
      <w:pPr>
        <w:jc w:val="both"/>
      </w:pPr>
      <w:r>
        <w:t xml:space="preserve">          </w:t>
      </w:r>
      <w:r w:rsidR="0088124A" w:rsidRPr="00FC7A12">
        <w:t>Članski doprinosi TO Nikšić</w:t>
      </w:r>
      <w:r>
        <w:t xml:space="preserve"> </w:t>
      </w:r>
      <w:r w:rsidR="0088124A" w:rsidRPr="00FC7A12">
        <w:t>- broj poreskih obveznika članskih doprinosa zaduženih za 2020</w:t>
      </w:r>
      <w:r>
        <w:t>.</w:t>
      </w:r>
      <w:r w:rsidR="0088124A" w:rsidRPr="00FC7A12">
        <w:t xml:space="preserve"> godinu je  299, od čega je 194 zaduženo po poreskoj prijavi i 105 po službenoj dužnosti. Ukupan iznos zaduženja iznosi </w:t>
      </w:r>
      <w:r w:rsidR="0088124A" w:rsidRPr="00FC7A12">
        <w:rPr>
          <w:bCs/>
        </w:rPr>
        <w:t>107.150,00</w:t>
      </w:r>
      <w:r w:rsidR="0088124A" w:rsidRPr="00FC7A12">
        <w:rPr>
          <w:b/>
        </w:rPr>
        <w:t xml:space="preserve"> </w:t>
      </w:r>
      <w:r w:rsidR="0088124A" w:rsidRPr="00FC7A12">
        <w:t>€. Podnijete su 502 poreske prijave na osnovu kojih je 194 i zaduženo, dok je 308 prijava bilo sa negativnim finansijskim rezultatom. Službi Inspekcije predat je spisak od 149</w:t>
      </w:r>
      <w:r>
        <w:t xml:space="preserve"> </w:t>
      </w:r>
      <w:r w:rsidR="0088124A" w:rsidRPr="00FC7A12">
        <w:t>obveznika od čega je dostavljen podatak za njih 24, dok je za ostale postupak pribavljanja podataka u toku.</w:t>
      </w:r>
    </w:p>
    <w:p w:rsidR="0088124A" w:rsidRPr="00FC7A12" w:rsidRDefault="0088124A" w:rsidP="0088124A">
      <w:pPr>
        <w:ind w:firstLine="708"/>
        <w:jc w:val="both"/>
        <w:rPr>
          <w:color w:val="000000"/>
        </w:rPr>
      </w:pPr>
      <w:r w:rsidRPr="00FC7A12">
        <w:rPr>
          <w:color w:val="000000"/>
        </w:rPr>
        <w:t xml:space="preserve">Po osnovu godišnje naknade za cjevovode, vodovode, kanalizaciju, električne, telefonske i telegrafske vodove, vodove kablovskih distributivnih sistema i slično na opštinskim i nekategorisanim putevima donešeno je  7 rješenja u ukupnom iznosu od </w:t>
      </w:r>
      <w:r w:rsidRPr="00FC7A12">
        <w:rPr>
          <w:bCs/>
          <w:color w:val="000000"/>
        </w:rPr>
        <w:t>109.463,50</w:t>
      </w:r>
      <w:r w:rsidRPr="00FC7A12">
        <w:rPr>
          <w:color w:val="000000"/>
        </w:rPr>
        <w:t xml:space="preserve"> €.</w:t>
      </w:r>
    </w:p>
    <w:p w:rsidR="0088124A" w:rsidRPr="00FC7A12" w:rsidRDefault="0088124A" w:rsidP="0088124A">
      <w:pPr>
        <w:ind w:firstLine="708"/>
        <w:jc w:val="both"/>
        <w:rPr>
          <w:color w:val="000000"/>
        </w:rPr>
      </w:pPr>
      <w:r w:rsidRPr="00FC7A12">
        <w:rPr>
          <w:color w:val="000000"/>
        </w:rPr>
        <w:t xml:space="preserve">U odjeljenu za utvrđivanje lokalnih javnih prihoda u periodu od 01.01.2020 godine do 31.12.2020 godine po osnovu godišnje naknade za korišćenje komercijalnih objekata kojima je omogućen pristup sa opštinskog i nekategorisanog puta donešeno je 908 rješenja u ukupnom iznosu od </w:t>
      </w:r>
      <w:r w:rsidRPr="00FC7A12">
        <w:rPr>
          <w:bCs/>
          <w:color w:val="000000"/>
        </w:rPr>
        <w:t>233.171,11</w:t>
      </w:r>
      <w:r w:rsidRPr="00FC7A12">
        <w:rPr>
          <w:color w:val="000000"/>
        </w:rPr>
        <w:t xml:space="preserve"> €. </w:t>
      </w:r>
    </w:p>
    <w:p w:rsidR="003605BB" w:rsidRPr="00FC7A12" w:rsidRDefault="00CD664C" w:rsidP="00CD664C">
      <w:pPr>
        <w:autoSpaceDE w:val="0"/>
        <w:autoSpaceDN w:val="0"/>
        <w:adjustRightInd w:val="0"/>
        <w:ind w:firstLine="708"/>
        <w:jc w:val="both"/>
      </w:pPr>
      <w:r w:rsidRPr="00FC7A12">
        <w:rPr>
          <w:color w:val="000000"/>
        </w:rPr>
        <w:t>Kako je Skupština opštine Nikšić donijela Odluku o mjerama podrške građanima i privrednim subjektima na teritoriji opštine Nikšić radi ublažavanja posledica koronavirusom (Sl.list Crne Gore-opštinski propisi“, br.18/20 i 32/20)  gdje je članu 2 tačka 5 naznačeno da privredni subjekti koji nijesu obavljali redovnu djelatnost oslobađaju se plaćanja obaveza po osnovu naknade za korišćenje opštinskih i nekategorisanih puteva, za period od 15</w:t>
      </w:r>
      <w:r w:rsidR="00500010">
        <w:rPr>
          <w:color w:val="000000"/>
        </w:rPr>
        <w:t>.</w:t>
      </w:r>
      <w:r w:rsidRPr="00FC7A12">
        <w:rPr>
          <w:color w:val="000000"/>
        </w:rPr>
        <w:t xml:space="preserve"> marta do 15</w:t>
      </w:r>
      <w:r w:rsidR="00500010">
        <w:rPr>
          <w:color w:val="000000"/>
        </w:rPr>
        <w:t>.</w:t>
      </w:r>
      <w:r w:rsidRPr="00FC7A12">
        <w:rPr>
          <w:color w:val="000000"/>
        </w:rPr>
        <w:t xml:space="preserve"> juna 2020</w:t>
      </w:r>
      <w:r w:rsidR="00500010">
        <w:rPr>
          <w:color w:val="000000"/>
        </w:rPr>
        <w:t>.</w:t>
      </w:r>
      <w:r w:rsidRPr="00FC7A12">
        <w:rPr>
          <w:color w:val="000000"/>
        </w:rPr>
        <w:t xml:space="preserve"> godine, na zahtjev obveznika, to je zahtjev predalo 243 obveznika. Od n</w:t>
      </w:r>
      <w:r w:rsidR="00E15922">
        <w:rPr>
          <w:color w:val="000000"/>
        </w:rPr>
        <w:t>avedenog broja doneseno je 188 r</w:t>
      </w:r>
      <w:r w:rsidRPr="00FC7A12">
        <w:rPr>
          <w:color w:val="000000"/>
        </w:rPr>
        <w:t>ješenja (od kojih 102 ponovo utvrđena jer su prethod</w:t>
      </w:r>
      <w:r w:rsidR="00E15922">
        <w:rPr>
          <w:color w:val="000000"/>
        </w:rPr>
        <w:t>no bili zaduženi</w:t>
      </w:r>
      <w:r w:rsidRPr="00FC7A12">
        <w:rPr>
          <w:color w:val="000000"/>
        </w:rPr>
        <w:t>, dok je po zahtjevu za oslobađanje naknade riješeno 86 rješenja). Zbog nei</w:t>
      </w:r>
      <w:r w:rsidR="00E15922">
        <w:rPr>
          <w:color w:val="000000"/>
        </w:rPr>
        <w:t>zmirenih obaveza prema Opštini N</w:t>
      </w:r>
      <w:r w:rsidRPr="00FC7A12">
        <w:rPr>
          <w:color w:val="000000"/>
        </w:rPr>
        <w:t>ikšić 55 zahtjeva je odbijeno.</w:t>
      </w:r>
    </w:p>
    <w:p w:rsidR="0088124A" w:rsidRPr="00FC7A12" w:rsidRDefault="00E15922" w:rsidP="007E613D">
      <w:pPr>
        <w:ind w:firstLine="708"/>
        <w:jc w:val="both"/>
        <w:rPr>
          <w:color w:val="000000"/>
        </w:rPr>
      </w:pPr>
      <w:r>
        <w:rPr>
          <w:color w:val="000000"/>
        </w:rPr>
        <w:t>Izjavljeno je 6 žalbi</w:t>
      </w:r>
      <w:r w:rsidR="00CD664C" w:rsidRPr="00FC7A12">
        <w:rPr>
          <w:color w:val="000000"/>
        </w:rPr>
        <w:t>, gdje je prvostepeni organ sačinio zapisnike po žalbama i na osnovu toga je drugostepeni organ donio 2 rješenja kojima se žalbe odbijaju, 2 predmeta vraćena su prvostepenom orgau na ponovni postupak, a dva rješenja je prvostepeni organ izmjenio.</w:t>
      </w:r>
    </w:p>
    <w:p w:rsidR="007E613D" w:rsidRPr="00FC7A12" w:rsidRDefault="007E613D" w:rsidP="007E613D">
      <w:pPr>
        <w:ind w:firstLine="708"/>
        <w:jc w:val="both"/>
        <w:rPr>
          <w:color w:val="000000"/>
        </w:rPr>
      </w:pPr>
      <w:r w:rsidRPr="00FC7A12">
        <w:rPr>
          <w:color w:val="000000"/>
        </w:rPr>
        <w:t xml:space="preserve">Po osnovu Odluke za komunalno opremanje građevinskog zemljišta za bespravne objekte utvrđeno je 40 rješenja u ukupnom iznosu od 101.401,84 €. </w:t>
      </w:r>
    </w:p>
    <w:p w:rsidR="0088124A" w:rsidRPr="00FC7A12" w:rsidRDefault="007E613D" w:rsidP="001E6594">
      <w:pPr>
        <w:ind w:firstLine="708"/>
        <w:jc w:val="both"/>
        <w:rPr>
          <w:color w:val="FF0000"/>
        </w:rPr>
      </w:pPr>
      <w:r w:rsidRPr="00FC7A12">
        <w:rPr>
          <w:color w:val="FF0000"/>
        </w:rPr>
        <w:t xml:space="preserve"> </w:t>
      </w:r>
      <w:r w:rsidRPr="00FC7A12">
        <w:rPr>
          <w:color w:val="000000"/>
        </w:rPr>
        <w:t>Po osnovu Odluke za naknadu za komunalno opremanje građevinskog zemljišta (novogradnja) utvrđeno je 49 rješenja</w:t>
      </w:r>
      <w:r w:rsidR="00E15922">
        <w:rPr>
          <w:color w:val="000000"/>
        </w:rPr>
        <w:t>,</w:t>
      </w:r>
      <w:r w:rsidRPr="00FC7A12">
        <w:rPr>
          <w:color w:val="000000"/>
        </w:rPr>
        <w:t xml:space="preserve"> u ukupnom iznosu od 638.041,91 €. </w:t>
      </w:r>
    </w:p>
    <w:p w:rsidR="00636D12" w:rsidRPr="00FC7A12" w:rsidRDefault="00636D12" w:rsidP="00E34D60">
      <w:pPr>
        <w:jc w:val="both"/>
        <w:rPr>
          <w:lang w:val="sl-SI"/>
        </w:rPr>
      </w:pPr>
      <w:r w:rsidRPr="00FC7A12">
        <w:t xml:space="preserve">          Sektor za naplatu lokalnih javnih prihoda</w:t>
      </w:r>
      <w:r w:rsidRPr="00FC7A12">
        <w:rPr>
          <w:b/>
        </w:rPr>
        <w:t xml:space="preserve"> </w:t>
      </w:r>
      <w:r w:rsidRPr="00FC7A12">
        <w:t xml:space="preserve">vrši poslove uprave vezano za naplatu svih lokalnih javnih prihoda koji su zakonom i opštinskim propisima utvrđeni naplatom preko žiro </w:t>
      </w:r>
      <w:r w:rsidRPr="00FC7A12">
        <w:lastRenderedPageBreak/>
        <w:t xml:space="preserve">računa, na blagajni; prinudnom naplatom u skladu sa propisima koji uređuju poreski postupak; vršenje obezbjeđivanja potraživanja u skladu sa zakonom; </w:t>
      </w:r>
      <w:r w:rsidRPr="00FC7A12">
        <w:rPr>
          <w:lang w:val="sl-SI"/>
        </w:rPr>
        <w:t>obezbjeđivanje tačnog i ažurnog vođenja  evidencije  svih naplaćenih lokalnih javnih  prihoda; obavljanje komunikacije i dogovora sa organom lokalne uprave za poslove finansija vezano za eventualna potraživanja poreskih obveznik</w:t>
      </w:r>
      <w:r w:rsidR="00517FB1">
        <w:rPr>
          <w:lang w:val="sl-SI"/>
        </w:rPr>
        <w:t>a prema B</w:t>
      </w:r>
      <w:r w:rsidRPr="00FC7A12">
        <w:rPr>
          <w:lang w:val="sl-SI"/>
        </w:rPr>
        <w:t>udžetu; prikupljanje podata</w:t>
      </w:r>
      <w:r w:rsidR="00517FB1">
        <w:rPr>
          <w:lang w:val="sl-SI"/>
        </w:rPr>
        <w:t>ka o zaposlenima na teritoriji o</w:t>
      </w:r>
      <w:r w:rsidRPr="00FC7A12">
        <w:rPr>
          <w:lang w:val="sl-SI"/>
        </w:rPr>
        <w:t>pštine Nikšić sa ciljem da se dopune baze podataka koje bi se koristile prilikom prinudne naplate; vršenje povraćaja nepravilno ili pogrešno izvršenih uplata poreskim obveznicima; prikupljanje podataka sa terena od saradnika za terensku provjeru podataka; prodaju obrazaca; naplatu lokalnih administrativnih taksi na blagajni; sačinjavanje dnevnih izvještaja; predaju dnevnog pazara;</w:t>
      </w:r>
      <w:r w:rsidRPr="00FC7A12">
        <w:t xml:space="preserve"> pripremanje  informativnih i drugih stručnih materijala za Skupštinu i predsjednika Opštine; </w:t>
      </w:r>
      <w:r w:rsidRPr="00FC7A12">
        <w:rPr>
          <w:lang w:val="sl-SI"/>
        </w:rPr>
        <w:t xml:space="preserve">vršenje poslova u vezi slobodnog pristupa informacijama iz svog djelokruga; vršenje  drugih poslova iz nadležnosti Opštine u ovoj oblasti. </w:t>
      </w:r>
    </w:p>
    <w:p w:rsidR="00636D12" w:rsidRPr="00FC7A12" w:rsidRDefault="00636D12" w:rsidP="00E34D60">
      <w:pPr>
        <w:jc w:val="both"/>
        <w:rPr>
          <w:lang w:val="sl-SI"/>
        </w:rPr>
      </w:pPr>
      <w:r w:rsidRPr="00FC7A12">
        <w:t xml:space="preserve">           U Sektoru za naplatu lokalnih javnih prihoda</w:t>
      </w:r>
      <w:r w:rsidRPr="00FC7A12">
        <w:rPr>
          <w:b/>
        </w:rPr>
        <w:t xml:space="preserve"> </w:t>
      </w:r>
      <w:r w:rsidRPr="00FC7A12">
        <w:t>su u toku</w:t>
      </w:r>
      <w:r w:rsidRPr="00FC7A12">
        <w:rPr>
          <w:b/>
        </w:rPr>
        <w:t xml:space="preserve"> </w:t>
      </w:r>
      <w:r w:rsidR="007E613D" w:rsidRPr="00FC7A12">
        <w:t>2020</w:t>
      </w:r>
      <w:r w:rsidRPr="00FC7A12">
        <w:t>. godine preduzimane zakonske mjere u cilju naplate poreza, taksi i naknada. Na osnovu podataka pribavljenih od Sektora za utvrđivanje lokalnih javnih prihoda sačinjen je plan mjera i redosled njihove realizacije. Praćena je naplata prihoda za  koje obavezu utvrđuje Sektor za utvrđivanje lokalnih javnih prihoda  i prihoda za koje obavezu utvrđuju drugi organi Opštine.</w:t>
      </w:r>
    </w:p>
    <w:p w:rsidR="00636D12" w:rsidRPr="00FC7A12" w:rsidRDefault="00636D12" w:rsidP="00E34D60">
      <w:pPr>
        <w:ind w:firstLine="708"/>
        <w:jc w:val="both"/>
      </w:pPr>
      <w:r w:rsidRPr="00FC7A12">
        <w:t>Da bi se poreskim obveznicima  olakšalo izmirivanje poreskih obaveza, organizovana je naplata preko blagajne Sekt</w:t>
      </w:r>
      <w:r w:rsidR="00517FB1">
        <w:t>ora za naplatu lokalnih javnih p</w:t>
      </w:r>
      <w:r w:rsidRPr="00FC7A12">
        <w:t xml:space="preserve">rihoda i </w:t>
      </w:r>
      <w:r w:rsidR="00517FB1">
        <w:t>uplatom na žiro račun</w:t>
      </w:r>
      <w:r w:rsidRPr="00FC7A12">
        <w:t xml:space="preserve">. Poreskim obveznicima je omogućeno da poresku obavezu izmiruju u više rata, zavisno od njihovih platežnih mogućnosti. Ovakav način rada je vršen u cilju dobrovoljnog izmirivanja poreskih obaveza. Poreski obveznici su kontaktirani neposredno, telefonom ili dostavljanjem pisanih opomena. </w:t>
      </w:r>
    </w:p>
    <w:p w:rsidR="007E613D" w:rsidRPr="00FC7A12" w:rsidRDefault="00636D12" w:rsidP="007E613D">
      <w:pPr>
        <w:jc w:val="both"/>
      </w:pPr>
      <w:r w:rsidRPr="00FC7A12">
        <w:t xml:space="preserve">           </w:t>
      </w:r>
      <w:r w:rsidR="007E613D" w:rsidRPr="00FC7A12">
        <w:t xml:space="preserve">U slučajevima gdje poreski obveznici nijesu svoje obaveze izmirili dobrovoljno, Sektor je preduzimao mjere prinudne naplate. Prinudna naplata dospjelih obaveza je blokada žiro računa ili novčanih primanja poreskih obveznika. U ovom periodu su donijeta 60 rješenja o prinudnoj naplati poreza na nepokretnosti za  pravna lica, od čega je 34 rješenja proslijeđeno Centralnoj banci Crne Gore na blokadu sredstava sa žiro računa. </w:t>
      </w:r>
    </w:p>
    <w:p w:rsidR="007E613D" w:rsidRPr="00FC7A12" w:rsidRDefault="007E613D" w:rsidP="00517FB1">
      <w:pPr>
        <w:ind w:firstLine="708"/>
        <w:jc w:val="both"/>
      </w:pPr>
      <w:r w:rsidRPr="00FC7A12">
        <w:t>Za  fizička lica donijeto je 152 rješenja o prinudnoj naplati. Po rješenjima o prinudnoj naplati je izjavljeno 152 žalbi, za koje je prvostepeni  organ u ponovnom postupku donio nova rješenja. Sektor je shodno Zakonu o poreskoj administraciji donio 152 rješenja o storniranju zbog zast</w:t>
      </w:r>
      <w:r w:rsidR="00517FB1">
        <w:t>arjelosti naplate potraživanja.</w:t>
      </w:r>
    </w:p>
    <w:p w:rsidR="007E613D" w:rsidRPr="00FC7A12" w:rsidRDefault="00636D12" w:rsidP="00E34D60">
      <w:pPr>
        <w:tabs>
          <w:tab w:val="left" w:pos="570"/>
        </w:tabs>
        <w:jc w:val="both"/>
      </w:pPr>
      <w:r w:rsidRPr="00FC7A12">
        <w:t xml:space="preserve">          U koliko nema mogućnosti da se dospjela potraživanja po osnovu poreza na nepokretnosti prinudno naplate na naprijed navedeni način, bilo što se ne može doći do podataka o prihodima koje ostvaruje ili iz razloga što nijesu zaposleni, primjenjivane su mjere obezbjeđenja poreskog potraživanja na nepokretnosti poreskih obveznika, kao obezbjeđenje poreskog duga. U postupcima za preduzimanje ovih mjera su obveznici pozivani i upućivani da izmire dug, kako se ne bi pribjegavalo ovim mjerama. Nakon s</w:t>
      </w:r>
      <w:r w:rsidR="00517FB1">
        <w:t>provedenih postupaka je doniješena su dva z</w:t>
      </w:r>
      <w:r w:rsidRPr="00FC7A12">
        <w:t>aključka o obezbjeđenju poreskog potraživanja (hipoteka).</w:t>
      </w:r>
      <w:r w:rsidR="00305A7E" w:rsidRPr="00FC7A12">
        <w:t xml:space="preserve"> </w:t>
      </w:r>
    </w:p>
    <w:p w:rsidR="007E613D" w:rsidRPr="00FC7A12" w:rsidRDefault="00636D12" w:rsidP="007E613D">
      <w:pPr>
        <w:tabs>
          <w:tab w:val="left" w:pos="570"/>
        </w:tabs>
      </w:pPr>
      <w:r w:rsidRPr="00FC7A12">
        <w:t xml:space="preserve">      </w:t>
      </w:r>
      <w:r w:rsidR="00E34D60" w:rsidRPr="00FC7A12">
        <w:t xml:space="preserve">   </w:t>
      </w:r>
      <w:r w:rsidRPr="00FC7A12">
        <w:t xml:space="preserve"> Sektor je praćenjem Oglasa o otvara</w:t>
      </w:r>
      <w:r w:rsidR="007E613D" w:rsidRPr="00FC7A12">
        <w:t>nju stečajnog postupka, donio 7</w:t>
      </w:r>
      <w:r w:rsidR="00A06D5E">
        <w:t xml:space="preserve"> z</w:t>
      </w:r>
      <w:r w:rsidRPr="00FC7A12">
        <w:t xml:space="preserve">ahtjeva za sprovođenje postupka potraživanja (stečaj).  </w:t>
      </w:r>
      <w:r w:rsidR="007E613D" w:rsidRPr="00FC7A12">
        <w:t>Po osnovu okončanog stečaja ova služba je u 2020.godini donijela 89 rješenja.</w:t>
      </w:r>
    </w:p>
    <w:p w:rsidR="00636D12" w:rsidRPr="00FC7A12" w:rsidRDefault="007E613D" w:rsidP="007E613D">
      <w:pPr>
        <w:tabs>
          <w:tab w:val="left" w:pos="570"/>
        </w:tabs>
        <w:jc w:val="both"/>
      </w:pPr>
      <w:r w:rsidRPr="00FC7A12">
        <w:tab/>
        <w:t xml:space="preserve">Preduzimanjem svih ovih mjera, u izvještajnom periodu po osnovu poreza na nepokretnosti je ukupno naplaćeno 5.424.212,59 €, od čega je za pravna lica naplaćeno 4.981.789,16 €, a za fizička lica 441.725,04 €. </w:t>
      </w:r>
    </w:p>
    <w:p w:rsidR="007E613D" w:rsidRPr="00FC7A12" w:rsidRDefault="007E613D" w:rsidP="007E613D">
      <w:r w:rsidRPr="00FC7A12">
        <w:rPr>
          <w:i/>
        </w:rPr>
        <w:t xml:space="preserve">         </w:t>
      </w:r>
      <w:r w:rsidRPr="00FC7A12">
        <w:t>Uplatom preko žiro računa uplaćeno 5.033.131,78 €, preko blagajne uplaćeno 290.751,81 €  i kompenzaciom  100.329,00 €.</w:t>
      </w:r>
    </w:p>
    <w:p w:rsidR="007E613D" w:rsidRPr="00FC7A12" w:rsidRDefault="007E613D" w:rsidP="00A06D5E">
      <w:pPr>
        <w:jc w:val="both"/>
      </w:pPr>
      <w:r w:rsidRPr="00FC7A12">
        <w:lastRenderedPageBreak/>
        <w:t xml:space="preserve">          Po osnovu   rješenja o prinudnoj naplati poreza na nepokretnosti iz prethodnog perioda naplaćeno je</w:t>
      </w:r>
      <w:r w:rsidR="00A06D5E">
        <w:t xml:space="preserve"> </w:t>
      </w:r>
      <w:r w:rsidRPr="00FC7A12">
        <w:t>u 2020</w:t>
      </w:r>
      <w:r w:rsidR="00A06D5E">
        <w:t>.</w:t>
      </w:r>
      <w:r w:rsidRPr="00FC7A12">
        <w:t xml:space="preserve"> godini kamate u iznosu od 4.236,95 € i troškova postupka u iznosu od 126,48 €.</w:t>
      </w:r>
    </w:p>
    <w:p w:rsidR="007E613D" w:rsidRPr="00FC7A12" w:rsidRDefault="007E613D" w:rsidP="00A06D5E">
      <w:pPr>
        <w:jc w:val="both"/>
      </w:pPr>
      <w:r w:rsidRPr="00FC7A12">
        <w:rPr>
          <w:i/>
        </w:rPr>
        <w:t xml:space="preserve">         </w:t>
      </w:r>
      <w:r w:rsidRPr="00FC7A12">
        <w:t xml:space="preserve"> Po osnovu naknade za korišćenje komercijalnih objekata kojima je omogućen pristup sa opštinskog puta, za izvještajni period naplaćeno je 186.299,64 €.</w:t>
      </w:r>
      <w:r w:rsidR="00A06D5E">
        <w:t xml:space="preserve"> </w:t>
      </w:r>
      <w:r w:rsidRPr="00FC7A12">
        <w:t>Po istom osnovu je donešeno  15</w:t>
      </w:r>
      <w:r w:rsidR="00A06D5E">
        <w:t>3  rješenja o prinudnoj naplati</w:t>
      </w:r>
      <w:r w:rsidRPr="00FC7A12">
        <w:t>. Po rješenjima o prinudnoj naplati za korišćenje komercijalnih objekata kojima je omogućen pristup sa opštinskog puta naplaćeno je kamate u iznosu od 85,22 € i troškova postupka u iznosu od 80,00 €.</w:t>
      </w:r>
    </w:p>
    <w:p w:rsidR="007E613D" w:rsidRPr="00FC7A12" w:rsidRDefault="007E613D" w:rsidP="007E613D">
      <w:r w:rsidRPr="00FC7A12">
        <w:t xml:space="preserve">          Po osnovu naknade za korišćenje komercijalnih objekata kojima je omogućen pristup sa opštinskog puta donešena su 4 rješenja o preknjižavanju novčanih sredstava.</w:t>
      </w:r>
    </w:p>
    <w:p w:rsidR="007E613D" w:rsidRPr="00FC7A12" w:rsidRDefault="007E613D" w:rsidP="007E613D">
      <w:r w:rsidRPr="00FC7A12">
        <w:t xml:space="preserve">         Po osnovu naknada za postavljanje vodovo./kanali. mreže ,el./tel. vodova naplaćeno je 109.463,50 €.</w:t>
      </w:r>
    </w:p>
    <w:p w:rsidR="007E613D" w:rsidRPr="00FC7A12" w:rsidRDefault="007E613D" w:rsidP="007E613D">
      <w:r w:rsidRPr="00FC7A12">
        <w:t>Na ime lokalnih komunalnih taksi naplaćeno je  67.974,85 €,</w:t>
      </w:r>
      <w:r w:rsidR="00A06D5E">
        <w:t xml:space="preserve"> </w:t>
      </w:r>
      <w:r w:rsidRPr="00FC7A12">
        <w:t>od čega je po osnovu :</w:t>
      </w:r>
    </w:p>
    <w:p w:rsidR="007E613D" w:rsidRPr="00FC7A12" w:rsidRDefault="007E613D" w:rsidP="00570B2F">
      <w:pPr>
        <w:pStyle w:val="ListParagraph"/>
        <w:numPr>
          <w:ilvl w:val="0"/>
          <w:numId w:val="20"/>
        </w:numPr>
      </w:pPr>
      <w:r w:rsidRPr="00FC7A12">
        <w:t xml:space="preserve">korišćenja prostora na javnim površinama-terase -   naplaćeno – 50.617,15 €   </w:t>
      </w:r>
    </w:p>
    <w:p w:rsidR="007E613D" w:rsidRPr="00FC7A12" w:rsidRDefault="007E613D" w:rsidP="00570B2F">
      <w:pPr>
        <w:pStyle w:val="ListParagraph"/>
        <w:numPr>
          <w:ilvl w:val="0"/>
          <w:numId w:val="20"/>
        </w:numPr>
      </w:pPr>
      <w:r w:rsidRPr="00FC7A12">
        <w:t xml:space="preserve">korišćenja vitrina- naplaćeno – 2.120,90 €   </w:t>
      </w:r>
    </w:p>
    <w:p w:rsidR="007E613D" w:rsidRPr="00FC7A12" w:rsidRDefault="007E613D" w:rsidP="00570B2F">
      <w:pPr>
        <w:pStyle w:val="ListParagraph"/>
        <w:numPr>
          <w:ilvl w:val="0"/>
          <w:numId w:val="20"/>
        </w:numPr>
      </w:pPr>
      <w:r w:rsidRPr="00FC7A12">
        <w:t xml:space="preserve">korišćenja reklamnih panoa - naplaćeno -1.714,60 €   </w:t>
      </w:r>
    </w:p>
    <w:p w:rsidR="007E613D" w:rsidRPr="00FC7A12" w:rsidRDefault="007E613D" w:rsidP="00570B2F">
      <w:pPr>
        <w:pStyle w:val="ListParagraph"/>
        <w:numPr>
          <w:ilvl w:val="0"/>
          <w:numId w:val="20"/>
        </w:numPr>
      </w:pPr>
      <w:r w:rsidRPr="00FC7A12">
        <w:t>dr</w:t>
      </w:r>
      <w:r w:rsidR="00A06D5E">
        <w:t>žanja asfaltnih betonskih baza i</w:t>
      </w:r>
      <w:r w:rsidRPr="00FC7A12">
        <w:t xml:space="preserve"> baza drobljenje kamena- naplaćeno -2.000,00 €</w:t>
      </w:r>
    </w:p>
    <w:p w:rsidR="007E613D" w:rsidRPr="00FC7A12" w:rsidRDefault="007E613D" w:rsidP="00570B2F">
      <w:pPr>
        <w:pStyle w:val="ListParagraph"/>
        <w:numPr>
          <w:ilvl w:val="0"/>
          <w:numId w:val="20"/>
        </w:numPr>
      </w:pPr>
      <w:r w:rsidRPr="00FC7A12">
        <w:t xml:space="preserve">priređivanja muzike u ugostiteljskim objektima - naplaćeno -1.300,00 € </w:t>
      </w:r>
    </w:p>
    <w:p w:rsidR="007E613D" w:rsidRPr="00FC7A12" w:rsidRDefault="007E613D" w:rsidP="007E613D">
      <w:pPr>
        <w:pStyle w:val="ListParagraph"/>
        <w:ind w:left="1005"/>
      </w:pPr>
    </w:p>
    <w:p w:rsidR="007E613D" w:rsidRPr="00FC7A12" w:rsidRDefault="007E613D" w:rsidP="00570B2F">
      <w:pPr>
        <w:pStyle w:val="ListParagraph"/>
        <w:numPr>
          <w:ilvl w:val="0"/>
          <w:numId w:val="22"/>
        </w:numPr>
      </w:pPr>
      <w:r w:rsidRPr="00FC7A12">
        <w:t>Po osnovu boravišne takse naplaćeno je 2.477,20 €</w:t>
      </w:r>
    </w:p>
    <w:p w:rsidR="007E613D" w:rsidRPr="00FC7A12" w:rsidRDefault="007E613D" w:rsidP="00570B2F">
      <w:pPr>
        <w:pStyle w:val="ListParagraph"/>
        <w:numPr>
          <w:ilvl w:val="0"/>
          <w:numId w:val="22"/>
        </w:numPr>
      </w:pPr>
      <w:r w:rsidRPr="00FC7A12">
        <w:t>Po osnovu takse za korišćenje taksi stajališta naplaćeno je 6.145,00 €</w:t>
      </w:r>
    </w:p>
    <w:p w:rsidR="007E613D" w:rsidRPr="00FC7A12" w:rsidRDefault="007E613D" w:rsidP="00570B2F">
      <w:pPr>
        <w:pStyle w:val="ListParagraph"/>
        <w:numPr>
          <w:ilvl w:val="0"/>
          <w:numId w:val="22"/>
        </w:numPr>
      </w:pPr>
      <w:r w:rsidRPr="00FC7A12">
        <w:t>Po osnovu taksi licence naplaćeno je 1.600,00 €</w:t>
      </w:r>
    </w:p>
    <w:p w:rsidR="007E613D" w:rsidRPr="00FC7A12" w:rsidRDefault="007E613D" w:rsidP="00570B2F">
      <w:pPr>
        <w:pStyle w:val="ListParagraph"/>
        <w:numPr>
          <w:ilvl w:val="0"/>
          <w:numId w:val="21"/>
        </w:numPr>
      </w:pPr>
      <w:r w:rsidRPr="00FC7A12">
        <w:t>Na ime prireza porezu na dohodak fizičkih l</w:t>
      </w:r>
      <w:r w:rsidR="00D04287">
        <w:t>ica naplaćeno je 1.597.198,25 €</w:t>
      </w:r>
    </w:p>
    <w:p w:rsidR="007E613D" w:rsidRPr="00FC7A12" w:rsidRDefault="007E613D" w:rsidP="00570B2F">
      <w:pPr>
        <w:pStyle w:val="ListParagraph"/>
        <w:numPr>
          <w:ilvl w:val="0"/>
          <w:numId w:val="21"/>
        </w:numPr>
      </w:pPr>
      <w:r w:rsidRPr="00FC7A12">
        <w:t>Na ime naknada za komunalno opremanje građevinskog zemljišta naplaćeno je  781.867,26 € od čega se: na novoizgrađene objekte odnosi 629.866,92</w:t>
      </w:r>
      <w:r w:rsidR="00A06D5E">
        <w:t xml:space="preserve"> </w:t>
      </w:r>
      <w:r w:rsidRPr="00FC7A12">
        <w:t>€, na legalizaciju objekata odnosi 54.409,17 €, za privremene objekte 97.590,17</w:t>
      </w:r>
      <w:r w:rsidR="00A06D5E">
        <w:t xml:space="preserve"> € </w:t>
      </w:r>
    </w:p>
    <w:p w:rsidR="007E613D" w:rsidRPr="00FC7A12" w:rsidRDefault="00A06D5E" w:rsidP="00570B2F">
      <w:pPr>
        <w:pStyle w:val="ListParagraph"/>
        <w:numPr>
          <w:ilvl w:val="0"/>
          <w:numId w:val="21"/>
        </w:numPr>
      </w:pPr>
      <w:r>
        <w:t>Na ime članskog doprinosa T</w:t>
      </w:r>
      <w:r w:rsidR="007E613D" w:rsidRPr="00FC7A12">
        <w:t>urističkoj organizaciji za izvještajni period naplaćeno je 97.805,04</w:t>
      </w:r>
      <w:r>
        <w:t xml:space="preserve"> €.Po istom osnovu donijeto je </w:t>
      </w:r>
      <w:r w:rsidR="007E613D" w:rsidRPr="00FC7A12">
        <w:t>74 rješenja o prinudnoj naplati, koja su proslijeđena Centralnoj banci Crne Gore na blokadu sredstava sa žiro računa . Po rješenjima o prinudnoj naplati naplaćeno je kamate u iznosu od 188,45 € i troškova postupka u iznosu o</w:t>
      </w:r>
      <w:r w:rsidR="00D04287">
        <w:t>d 80,00 €</w:t>
      </w:r>
    </w:p>
    <w:p w:rsidR="007E613D" w:rsidRPr="00FC7A12" w:rsidRDefault="007E613D" w:rsidP="00570B2F">
      <w:pPr>
        <w:pStyle w:val="ListParagraph"/>
        <w:numPr>
          <w:ilvl w:val="0"/>
          <w:numId w:val="21"/>
        </w:numPr>
      </w:pPr>
      <w:r w:rsidRPr="00FC7A12">
        <w:t>Po o</w:t>
      </w:r>
      <w:r w:rsidR="00A06D5E">
        <w:t>snovu zakupa poslovnog prostora</w:t>
      </w:r>
      <w:r w:rsidR="00D04287">
        <w:t xml:space="preserve"> je naplaćeno 65.869,37 €</w:t>
      </w:r>
    </w:p>
    <w:p w:rsidR="007E613D" w:rsidRPr="00FC7A12" w:rsidRDefault="007E613D" w:rsidP="00570B2F">
      <w:pPr>
        <w:pStyle w:val="ListParagraph"/>
        <w:numPr>
          <w:ilvl w:val="0"/>
          <w:numId w:val="21"/>
        </w:numPr>
      </w:pPr>
      <w:r w:rsidRPr="00FC7A12">
        <w:t>Po osnovu naknade za izdavanje UT uslova naplaćeno je 9.463,00€</w:t>
      </w:r>
    </w:p>
    <w:p w:rsidR="007E613D" w:rsidRPr="00FC7A12" w:rsidRDefault="007E613D" w:rsidP="00570B2F">
      <w:pPr>
        <w:pStyle w:val="ListParagraph"/>
        <w:numPr>
          <w:ilvl w:val="0"/>
          <w:numId w:val="21"/>
        </w:numPr>
      </w:pPr>
      <w:r w:rsidRPr="00FC7A12">
        <w:t>Po osnovu usluge za servisiranje protiv požarnih aparata naplaćeno je 16.918,17€</w:t>
      </w:r>
    </w:p>
    <w:p w:rsidR="007E613D" w:rsidRPr="00FC7A12" w:rsidRDefault="007E613D" w:rsidP="00570B2F">
      <w:pPr>
        <w:pStyle w:val="ListParagraph"/>
        <w:numPr>
          <w:ilvl w:val="0"/>
          <w:numId w:val="21"/>
        </w:numPr>
      </w:pPr>
      <w:r w:rsidRPr="00FC7A12">
        <w:t>Po osnovu lokalnih administrativnih taksi naplaćeno je 29.856,70€</w:t>
      </w:r>
    </w:p>
    <w:p w:rsidR="007E613D" w:rsidRPr="00FC7A12" w:rsidRDefault="00A06D5E" w:rsidP="00570B2F">
      <w:pPr>
        <w:pStyle w:val="ListParagraph"/>
        <w:numPr>
          <w:ilvl w:val="0"/>
          <w:numId w:val="21"/>
        </w:numPr>
      </w:pPr>
      <w:r>
        <w:t>Izdato je  1.075  u</w:t>
      </w:r>
      <w:r w:rsidR="007E613D" w:rsidRPr="00FC7A12">
        <w:t>vjerenje o izmirenim obavezama za fizička i pravna lica</w:t>
      </w:r>
    </w:p>
    <w:p w:rsidR="007E613D" w:rsidRPr="00FC7A12" w:rsidRDefault="00A06D5E" w:rsidP="00570B2F">
      <w:pPr>
        <w:pStyle w:val="ListParagraph"/>
        <w:numPr>
          <w:ilvl w:val="0"/>
          <w:numId w:val="21"/>
        </w:numPr>
      </w:pPr>
      <w:r>
        <w:t>Izdato je 72 uvjerenja za izdavanje r</w:t>
      </w:r>
      <w:r w:rsidR="00D04287">
        <w:t>ješenja o produženju lokacije</w:t>
      </w:r>
    </w:p>
    <w:p w:rsidR="007E613D" w:rsidRPr="00FC7A12" w:rsidRDefault="00A06D5E" w:rsidP="00570B2F">
      <w:pPr>
        <w:pStyle w:val="ListParagraph"/>
        <w:numPr>
          <w:ilvl w:val="0"/>
          <w:numId w:val="21"/>
        </w:numPr>
      </w:pPr>
      <w:r>
        <w:t>Izdato je 89  u</w:t>
      </w:r>
      <w:r w:rsidR="007E613D" w:rsidRPr="00FC7A12">
        <w:t>vjerenja o uplaćenoj naknadi za komunalno opremanje građevinskog zemlj</w:t>
      </w:r>
      <w:r w:rsidR="00D04287">
        <w:t>išta</w:t>
      </w:r>
    </w:p>
    <w:p w:rsidR="007E613D" w:rsidRPr="00FC7A12" w:rsidRDefault="007E613D" w:rsidP="007E613D">
      <w:pPr>
        <w:rPr>
          <w:b/>
        </w:rPr>
      </w:pPr>
    </w:p>
    <w:p w:rsidR="001E0992" w:rsidRPr="00FC7A12" w:rsidRDefault="001E0992" w:rsidP="00E34D60">
      <w:pPr>
        <w:jc w:val="center"/>
      </w:pPr>
      <w:r w:rsidRPr="00FC7A12">
        <w:t>***</w:t>
      </w:r>
    </w:p>
    <w:p w:rsidR="00EB1A95" w:rsidRPr="00FC7A12" w:rsidRDefault="00EB1A95" w:rsidP="00E34D60">
      <w:pPr>
        <w:jc w:val="center"/>
      </w:pPr>
    </w:p>
    <w:p w:rsidR="005B2B07" w:rsidRPr="00FC7A12" w:rsidRDefault="005B2B07" w:rsidP="00E34D60">
      <w:pPr>
        <w:tabs>
          <w:tab w:val="left" w:pos="851"/>
        </w:tabs>
        <w:jc w:val="both"/>
      </w:pPr>
      <w:r w:rsidRPr="00FC7A12">
        <w:rPr>
          <w:i/>
        </w:rPr>
        <w:t xml:space="preserve">              </w:t>
      </w:r>
      <w:r w:rsidRPr="00FC7A12">
        <w:rPr>
          <w:b/>
        </w:rPr>
        <w:t>Služba za unutrašnju reviziju</w:t>
      </w:r>
      <w:r w:rsidRPr="00FC7A12">
        <w:t>, u skladu sa Zakonom o upravljanju i unutrašnjim kontrolama u javnom sektoru („Službeni list CG“ br. 075/18 od 23.11.2018.), obavlja poslove unutrašnje revizije u Opštini Nikšić, kao i kod korisnika s</w:t>
      </w:r>
      <w:r w:rsidR="0073146F">
        <w:t>redstava B</w:t>
      </w:r>
      <w:r w:rsidRPr="00FC7A12">
        <w:t xml:space="preserve">udžeta Opštine Nikšić i preduzeća čiji osnivač je Skupština opštine Nikšić, a koja nemaju uspostavljenu svoju jedinicu za unutrašnju reviziju. </w:t>
      </w:r>
    </w:p>
    <w:p w:rsidR="005B2B07" w:rsidRPr="00FC7A12" w:rsidRDefault="005B2B07" w:rsidP="00E34D60">
      <w:pPr>
        <w:tabs>
          <w:tab w:val="left" w:pos="851"/>
        </w:tabs>
        <w:jc w:val="both"/>
      </w:pPr>
      <w:r w:rsidRPr="00FC7A12">
        <w:lastRenderedPageBreak/>
        <w:t xml:space="preserve">             </w:t>
      </w:r>
      <w:r w:rsidR="00872E1F" w:rsidRPr="00FC7A12">
        <w:t xml:space="preserve"> U skladu sa Sporazumima o obavljanju unutrašnje revizije, Služba za unutrašnju reviziju, usluge unutrašnje revizije od 02.09.2014.</w:t>
      </w:r>
      <w:r w:rsidR="0073146F">
        <w:t xml:space="preserve"> </w:t>
      </w:r>
      <w:r w:rsidR="00872E1F" w:rsidRPr="00FC7A12">
        <w:t>godine pruža  Opštini Plužine</w:t>
      </w:r>
      <w:r w:rsidR="0073146F">
        <w:t>,</w:t>
      </w:r>
      <w:r w:rsidR="00872E1F" w:rsidRPr="00FC7A12">
        <w:t xml:space="preserve"> a od 25.11.2015.</w:t>
      </w:r>
      <w:r w:rsidR="0073146F">
        <w:t xml:space="preserve"> </w:t>
      </w:r>
      <w:r w:rsidR="00872E1F" w:rsidRPr="00FC7A12">
        <w:t>godine i  Opštini Šavnik, obuhvatajući  i korisnike sredstava budžeta i preduzeća čiji osnivač su Skupština opština Plužine i Šavnik.</w:t>
      </w:r>
    </w:p>
    <w:p w:rsidR="005B2B07" w:rsidRPr="00FC7A12" w:rsidRDefault="005B2B07" w:rsidP="00E34D60">
      <w:pPr>
        <w:tabs>
          <w:tab w:val="left" w:pos="540"/>
          <w:tab w:val="left" w:pos="630"/>
          <w:tab w:val="left" w:pos="720"/>
          <w:tab w:val="left" w:pos="2715"/>
        </w:tabs>
        <w:jc w:val="both"/>
      </w:pPr>
      <w:r w:rsidRPr="00FC7A12">
        <w:t xml:space="preserve">            Aktivnosti Službe za</w:t>
      </w:r>
      <w:r w:rsidR="00872E1F" w:rsidRPr="00FC7A12">
        <w:t xml:space="preserve"> unutrašnju reviziju u toku 2020</w:t>
      </w:r>
      <w:r w:rsidRPr="00FC7A12">
        <w:t>. godine obavljane su u skladu sa Godišnjim planom Služb</w:t>
      </w:r>
      <w:r w:rsidR="00872E1F" w:rsidRPr="00FC7A12">
        <w:t>e za unutrašnju reviziju za 2020. godinu (16-032-127</w:t>
      </w:r>
      <w:r w:rsidRPr="00FC7A12">
        <w:t>), koji je izveden iz Strate</w:t>
      </w:r>
      <w:r w:rsidR="00872E1F" w:rsidRPr="00FC7A12">
        <w:t>škog plana Službe za period 2020-2022. godine br. 16-032-124</w:t>
      </w:r>
      <w:r w:rsidRPr="00FC7A12">
        <w:t>).</w:t>
      </w:r>
    </w:p>
    <w:p w:rsidR="00D65F84" w:rsidRPr="0073146F" w:rsidRDefault="00D65F84" w:rsidP="00D65F84">
      <w:pPr>
        <w:tabs>
          <w:tab w:val="left" w:pos="540"/>
          <w:tab w:val="left" w:pos="630"/>
          <w:tab w:val="left" w:pos="720"/>
          <w:tab w:val="left" w:pos="2715"/>
        </w:tabs>
        <w:spacing w:before="120" w:after="120" w:line="276" w:lineRule="auto"/>
        <w:jc w:val="both"/>
        <w:rPr>
          <w:lang w:val="en-US" w:eastAsia="en-US"/>
        </w:rPr>
      </w:pPr>
      <w:r w:rsidRPr="00FC7A12">
        <w:rPr>
          <w:i/>
          <w:lang w:val="en-US" w:eastAsia="en-US"/>
        </w:rPr>
        <w:t xml:space="preserve">           </w:t>
      </w:r>
      <w:r w:rsidRPr="00FC7A12">
        <w:rPr>
          <w:lang w:val="en-US" w:eastAsia="en-US"/>
        </w:rPr>
        <w:t>Novonastale okolnosti, izazvane pojavom virusa  Covid 19, imale su značajan uticaj na rad Službe što je onemogućilo realizovanje svih planiranih aktivnosti. Tokom 2020.</w:t>
      </w:r>
      <w:r w:rsidR="0073146F">
        <w:rPr>
          <w:lang w:val="en-US" w:eastAsia="en-US"/>
        </w:rPr>
        <w:t xml:space="preserve"> </w:t>
      </w:r>
      <w:r w:rsidRPr="00FC7A12">
        <w:rPr>
          <w:lang w:val="en-US" w:eastAsia="en-US"/>
        </w:rPr>
        <w:t xml:space="preserve">godine u Opštini </w:t>
      </w:r>
      <w:r w:rsidRPr="0073146F">
        <w:rPr>
          <w:lang w:val="en-US" w:eastAsia="en-US"/>
        </w:rPr>
        <w:t>Nikšić obavljene su revizije:</w:t>
      </w:r>
    </w:p>
    <w:p w:rsidR="00D65F84" w:rsidRPr="0073146F" w:rsidRDefault="00D65F84" w:rsidP="00D65F84">
      <w:pPr>
        <w:numPr>
          <w:ilvl w:val="0"/>
          <w:numId w:val="8"/>
        </w:numPr>
        <w:tabs>
          <w:tab w:val="left" w:pos="540"/>
          <w:tab w:val="left" w:pos="630"/>
          <w:tab w:val="left" w:pos="720"/>
          <w:tab w:val="left" w:pos="2715"/>
        </w:tabs>
        <w:spacing w:before="120" w:after="120" w:line="276" w:lineRule="auto"/>
        <w:contextualSpacing/>
        <w:jc w:val="both"/>
        <w:rPr>
          <w:lang w:val="en-US" w:eastAsia="en-US"/>
        </w:rPr>
      </w:pPr>
      <w:r w:rsidRPr="0073146F">
        <w:rPr>
          <w:lang w:val="en-US" w:eastAsia="en-US"/>
        </w:rPr>
        <w:t xml:space="preserve">Praćenje i unapređenje kulture JU </w:t>
      </w:r>
      <w:r w:rsidR="0073146F">
        <w:rPr>
          <w:lang w:val="en-US" w:eastAsia="en-US"/>
        </w:rPr>
        <w:t>“</w:t>
      </w:r>
      <w:r w:rsidRPr="0073146F">
        <w:rPr>
          <w:lang w:val="en-US" w:eastAsia="en-US"/>
        </w:rPr>
        <w:t>Zahumlje</w:t>
      </w:r>
      <w:r w:rsidR="0073146F">
        <w:rPr>
          <w:lang w:val="en-US" w:eastAsia="en-US"/>
        </w:rPr>
        <w:t>”</w:t>
      </w:r>
      <w:r w:rsidRPr="0073146F">
        <w:rPr>
          <w:lang w:val="en-US" w:eastAsia="en-US"/>
        </w:rPr>
        <w:t xml:space="preserve"> i</w:t>
      </w:r>
    </w:p>
    <w:p w:rsidR="00D65F84" w:rsidRPr="0073146F" w:rsidRDefault="00D65F84" w:rsidP="00D65F84">
      <w:pPr>
        <w:numPr>
          <w:ilvl w:val="0"/>
          <w:numId w:val="8"/>
        </w:numPr>
        <w:tabs>
          <w:tab w:val="left" w:pos="540"/>
          <w:tab w:val="left" w:pos="630"/>
          <w:tab w:val="left" w:pos="720"/>
          <w:tab w:val="left" w:pos="2715"/>
        </w:tabs>
        <w:spacing w:before="120" w:after="120" w:line="276" w:lineRule="auto"/>
        <w:contextualSpacing/>
        <w:jc w:val="both"/>
        <w:rPr>
          <w:lang w:val="en-US" w:eastAsia="en-US"/>
        </w:rPr>
      </w:pPr>
      <w:r w:rsidRPr="0073146F">
        <w:rPr>
          <w:lang w:val="en-US" w:eastAsia="en-US"/>
        </w:rPr>
        <w:t>Organizacija, planiranje, realizacija i  impelemtacija IS Opštine.</w:t>
      </w:r>
    </w:p>
    <w:p w:rsidR="00D65F84" w:rsidRPr="00FC7A12" w:rsidRDefault="00D65F84" w:rsidP="00E34D60">
      <w:pPr>
        <w:tabs>
          <w:tab w:val="left" w:pos="540"/>
          <w:tab w:val="left" w:pos="630"/>
          <w:tab w:val="left" w:pos="720"/>
          <w:tab w:val="left" w:pos="2715"/>
        </w:tabs>
        <w:jc w:val="both"/>
      </w:pPr>
      <w:r w:rsidRPr="00FC7A12">
        <w:t xml:space="preserve">          Na osnovu obavljenih revizija date su preporuke u cilju unapređenja revidiranih oblasti. Od strane rukovodstva je prihvaćeno 6 datih preporuka od čega je jedna realizvana u 2020. godini, dok je realizacija ostalih preporuka planirana u 2021. godini.</w:t>
      </w:r>
    </w:p>
    <w:p w:rsidR="00D65F84" w:rsidRPr="00FC7A12" w:rsidRDefault="00D65F84" w:rsidP="00D65F84">
      <w:pPr>
        <w:tabs>
          <w:tab w:val="left" w:pos="851"/>
          <w:tab w:val="left" w:pos="993"/>
          <w:tab w:val="left" w:pos="2715"/>
        </w:tabs>
        <w:ind w:firstLine="360"/>
        <w:jc w:val="both"/>
      </w:pPr>
      <w:r w:rsidRPr="00FC7A12">
        <w:rPr>
          <w:i/>
        </w:rPr>
        <w:t xml:space="preserve">   </w:t>
      </w:r>
      <w:r w:rsidRPr="00FC7A12">
        <w:t>Služba za unutrašnju reviziju Opštine Nikšić, od početka rada, je dala ukupno 226 preporuka koje su prihvaćene od rukovodstva. Do 31.12.2020.</w:t>
      </w:r>
      <w:r w:rsidR="0073146F">
        <w:t xml:space="preserve"> </w:t>
      </w:r>
      <w:r w:rsidRPr="00FC7A12">
        <w:t>godine realizovano je 199 preporuka, što čini ≈90% ukupno prihvaćenih, dospjelih preporuka (88% prihvaćenih preporuka), djelimično je realizovano 6 ili ≈3% prihvaćenih preporuka, dok 21 ili ≈9% prihvaćenih preporuka  nijesu realizovane, od čega je za 16 ili ≈7% rok realizacije dospio, a za 5 ili ≈2%  planirani rokovi realizacije su tokom 2021.godine.</w:t>
      </w:r>
    </w:p>
    <w:p w:rsidR="00631CF5" w:rsidRPr="00FC7A12" w:rsidRDefault="00D65F84" w:rsidP="009F7C53">
      <w:pPr>
        <w:ind w:firstLine="708"/>
        <w:jc w:val="both"/>
      </w:pPr>
      <w:r w:rsidRPr="00FC7A12">
        <w:t>U toku 2020. godine, pri obavljanju pojedinačnih revizija, nije bilo ograničenja u pogledu obuhvata revizije, sredstava i zaposlenih, kao ni konflikta interesa u smislu ugrožavanja nezavisnosti revizora.</w:t>
      </w:r>
    </w:p>
    <w:p w:rsidR="00631CF5" w:rsidRPr="00FC7A12" w:rsidRDefault="00631CF5" w:rsidP="00E34D60">
      <w:pPr>
        <w:ind w:firstLine="708"/>
        <w:jc w:val="both"/>
        <w:rPr>
          <w:b/>
        </w:rPr>
      </w:pPr>
    </w:p>
    <w:p w:rsidR="009447DF" w:rsidRPr="00FC7A12" w:rsidRDefault="009447DF" w:rsidP="00E34D60">
      <w:pPr>
        <w:jc w:val="center"/>
      </w:pPr>
      <w:r w:rsidRPr="00FC7A12">
        <w:t>***</w:t>
      </w:r>
    </w:p>
    <w:p w:rsidR="00636D12" w:rsidRPr="00FC7A12" w:rsidRDefault="00636D12" w:rsidP="00E34D60">
      <w:pPr>
        <w:pStyle w:val="BodyText"/>
        <w:ind w:firstLine="360"/>
        <w:jc w:val="both"/>
        <w:rPr>
          <w:bCs/>
          <w:i/>
        </w:rPr>
      </w:pPr>
      <w:r w:rsidRPr="00FC7A12">
        <w:rPr>
          <w:b/>
          <w:bCs/>
        </w:rPr>
        <w:t>Agencija za projektovanje i planiranje</w:t>
      </w:r>
      <w:r w:rsidRPr="00FC7A12">
        <w:rPr>
          <w:bCs/>
        </w:rPr>
        <w:t xml:space="preserve"> je u okviru osnovne djelatnosti, a u skladu sa Zakonom, drugim propisima i opštima aktima,  u </w:t>
      </w:r>
      <w:r w:rsidR="009F7C53" w:rsidRPr="00FC7A12">
        <w:rPr>
          <w:bCs/>
        </w:rPr>
        <w:t>periodu od 01. 01. – 31.12. 2020</w:t>
      </w:r>
      <w:r w:rsidRPr="00FC7A12">
        <w:rPr>
          <w:bCs/>
        </w:rPr>
        <w:t>. godine obavila sljedeće poslove</w:t>
      </w:r>
      <w:r w:rsidRPr="00FC7A12">
        <w:rPr>
          <w:bCs/>
          <w:i/>
        </w:rPr>
        <w:t xml:space="preserve">: </w:t>
      </w:r>
    </w:p>
    <w:p w:rsidR="009F7C53" w:rsidRPr="00FC7A12" w:rsidRDefault="00636D12" w:rsidP="00570B2F">
      <w:pPr>
        <w:pStyle w:val="ListParagraph"/>
        <w:numPr>
          <w:ilvl w:val="0"/>
          <w:numId w:val="14"/>
        </w:numPr>
        <w:spacing w:after="160"/>
        <w:contextualSpacing/>
        <w:rPr>
          <w:u w:val="single"/>
        </w:rPr>
      </w:pPr>
      <w:r w:rsidRPr="00FC7A12">
        <w:rPr>
          <w:u w:val="single"/>
        </w:rPr>
        <w:t>Projekti</w:t>
      </w:r>
    </w:p>
    <w:p w:rsidR="009F7C53" w:rsidRPr="00FC7A12" w:rsidRDefault="009F7C53" w:rsidP="00570B2F">
      <w:pPr>
        <w:pStyle w:val="PlainText"/>
        <w:numPr>
          <w:ilvl w:val="0"/>
          <w:numId w:val="16"/>
        </w:numPr>
        <w:rPr>
          <w:rFonts w:ascii="Times New Roman" w:hAnsi="Times New Roman"/>
          <w:sz w:val="24"/>
          <w:szCs w:val="24"/>
        </w:rPr>
      </w:pPr>
      <w:r w:rsidRPr="00FC7A12">
        <w:rPr>
          <w:rFonts w:ascii="Times New Roman" w:hAnsi="Times New Roman"/>
          <w:sz w:val="24"/>
          <w:szCs w:val="24"/>
        </w:rPr>
        <w:t>Izrada glavnog projekta privremenog objekta (balon sale) montažno demontažnog tipa u Maslinama, u Podgorici - završen</w:t>
      </w:r>
    </w:p>
    <w:p w:rsidR="009F7C53" w:rsidRPr="00FC7A12" w:rsidRDefault="009F7C53" w:rsidP="00570B2F">
      <w:pPr>
        <w:pStyle w:val="PlainText"/>
        <w:numPr>
          <w:ilvl w:val="0"/>
          <w:numId w:val="16"/>
        </w:numPr>
        <w:rPr>
          <w:rFonts w:ascii="Times New Roman" w:hAnsi="Times New Roman"/>
          <w:sz w:val="24"/>
          <w:szCs w:val="24"/>
        </w:rPr>
      </w:pPr>
      <w:r w:rsidRPr="00FC7A12">
        <w:rPr>
          <w:rFonts w:ascii="Times New Roman" w:hAnsi="Times New Roman"/>
          <w:sz w:val="24"/>
          <w:szCs w:val="24"/>
        </w:rPr>
        <w:t>Izrada glavnog projekta doma starih u Plavu – završen</w:t>
      </w:r>
    </w:p>
    <w:p w:rsidR="009F7C53" w:rsidRPr="00FC7A12" w:rsidRDefault="009F7C53" w:rsidP="00570B2F">
      <w:pPr>
        <w:pStyle w:val="PlainText"/>
        <w:numPr>
          <w:ilvl w:val="0"/>
          <w:numId w:val="16"/>
        </w:numPr>
        <w:rPr>
          <w:rFonts w:ascii="Times New Roman" w:hAnsi="Times New Roman"/>
          <w:sz w:val="24"/>
          <w:szCs w:val="24"/>
        </w:rPr>
      </w:pPr>
      <w:r w:rsidRPr="00FC7A12">
        <w:rPr>
          <w:rFonts w:ascii="Times New Roman" w:hAnsi="Times New Roman"/>
          <w:sz w:val="24"/>
          <w:szCs w:val="24"/>
        </w:rPr>
        <w:t>Izrada glavnog projekta montažno demontažnog čeličnog hangara u Baru –   završen</w:t>
      </w:r>
    </w:p>
    <w:p w:rsidR="009F7C53" w:rsidRPr="00FC7A12" w:rsidRDefault="009F7C53" w:rsidP="00570B2F">
      <w:pPr>
        <w:pStyle w:val="PlainText"/>
        <w:numPr>
          <w:ilvl w:val="0"/>
          <w:numId w:val="16"/>
        </w:numPr>
        <w:rPr>
          <w:rFonts w:ascii="Times New Roman" w:hAnsi="Times New Roman"/>
          <w:sz w:val="24"/>
          <w:szCs w:val="24"/>
        </w:rPr>
      </w:pPr>
      <w:r w:rsidRPr="00FC7A12">
        <w:rPr>
          <w:rFonts w:ascii="Times New Roman" w:hAnsi="Times New Roman"/>
          <w:sz w:val="24"/>
          <w:szCs w:val="24"/>
        </w:rPr>
        <w:t xml:space="preserve">Izrada idejnog rešenja uređenja terena za potrebe gazdinstva Durutović - završen </w:t>
      </w:r>
    </w:p>
    <w:p w:rsidR="009F7C53" w:rsidRPr="00FC7A12" w:rsidRDefault="009F7C53" w:rsidP="00570B2F">
      <w:pPr>
        <w:pStyle w:val="PlainText"/>
        <w:numPr>
          <w:ilvl w:val="0"/>
          <w:numId w:val="16"/>
        </w:numPr>
        <w:rPr>
          <w:rFonts w:ascii="Times New Roman" w:hAnsi="Times New Roman"/>
          <w:sz w:val="24"/>
          <w:szCs w:val="24"/>
        </w:rPr>
      </w:pPr>
      <w:r w:rsidRPr="00FC7A12">
        <w:rPr>
          <w:rFonts w:ascii="Times New Roman" w:hAnsi="Times New Roman"/>
          <w:sz w:val="24"/>
          <w:szCs w:val="24"/>
        </w:rPr>
        <w:t>Izrada glavnog projekta sanacije kule Voltica u Nikšiću – završen</w:t>
      </w:r>
    </w:p>
    <w:p w:rsidR="009F7C53" w:rsidRPr="00FC7A12" w:rsidRDefault="009F7C53" w:rsidP="00570B2F">
      <w:pPr>
        <w:pStyle w:val="PlainText"/>
        <w:numPr>
          <w:ilvl w:val="0"/>
          <w:numId w:val="16"/>
        </w:numPr>
        <w:rPr>
          <w:rFonts w:ascii="Times New Roman" w:hAnsi="Times New Roman"/>
          <w:sz w:val="24"/>
          <w:szCs w:val="24"/>
        </w:rPr>
      </w:pPr>
      <w:r w:rsidRPr="00FC7A12">
        <w:rPr>
          <w:rFonts w:ascii="Times New Roman" w:hAnsi="Times New Roman"/>
          <w:sz w:val="24"/>
          <w:szCs w:val="24"/>
        </w:rPr>
        <w:t xml:space="preserve">Izrada glavnog projekta uređenja terena za potrebe JZU Opšta bolnica Nikšić, u Nikšiću – završen </w:t>
      </w:r>
    </w:p>
    <w:p w:rsidR="009F7C53" w:rsidRPr="00FC7A12" w:rsidRDefault="009F7C53" w:rsidP="00570B2F">
      <w:pPr>
        <w:pStyle w:val="PlainText"/>
        <w:numPr>
          <w:ilvl w:val="0"/>
          <w:numId w:val="16"/>
        </w:numPr>
        <w:rPr>
          <w:rFonts w:ascii="Times New Roman" w:hAnsi="Times New Roman"/>
          <w:sz w:val="24"/>
          <w:szCs w:val="24"/>
        </w:rPr>
      </w:pPr>
      <w:r w:rsidRPr="00FC7A12">
        <w:rPr>
          <w:rFonts w:ascii="Times New Roman" w:hAnsi="Times New Roman"/>
          <w:sz w:val="24"/>
          <w:szCs w:val="24"/>
        </w:rPr>
        <w:t>Izra</w:t>
      </w:r>
      <w:r w:rsidR="0073146F">
        <w:rPr>
          <w:rFonts w:ascii="Times New Roman" w:hAnsi="Times New Roman"/>
          <w:sz w:val="24"/>
          <w:szCs w:val="24"/>
        </w:rPr>
        <w:t>da glavnog projekta parkinga u U</w:t>
      </w:r>
      <w:r w:rsidRPr="00FC7A12">
        <w:rPr>
          <w:rFonts w:ascii="Times New Roman" w:hAnsi="Times New Roman"/>
          <w:sz w:val="24"/>
          <w:szCs w:val="24"/>
        </w:rPr>
        <w:t>l. Radoja Dakića u Nikšiću – završen</w:t>
      </w:r>
    </w:p>
    <w:p w:rsidR="009F7C53" w:rsidRPr="00FC7A12" w:rsidRDefault="009F7C53" w:rsidP="00570B2F">
      <w:pPr>
        <w:pStyle w:val="PlainText"/>
        <w:numPr>
          <w:ilvl w:val="0"/>
          <w:numId w:val="16"/>
        </w:numPr>
        <w:rPr>
          <w:rFonts w:ascii="Times New Roman" w:hAnsi="Times New Roman"/>
          <w:sz w:val="24"/>
          <w:szCs w:val="24"/>
        </w:rPr>
      </w:pPr>
      <w:r w:rsidRPr="00FC7A12">
        <w:rPr>
          <w:rFonts w:ascii="Times New Roman" w:hAnsi="Times New Roman"/>
          <w:sz w:val="24"/>
          <w:szCs w:val="24"/>
        </w:rPr>
        <w:t>Izrada glavog projekta stambenog objekta Mokroj Njivi, u Nikšiću – završen</w:t>
      </w:r>
    </w:p>
    <w:p w:rsidR="009F7C53" w:rsidRPr="00FC7A12" w:rsidRDefault="009F7C53" w:rsidP="00570B2F">
      <w:pPr>
        <w:pStyle w:val="PlainText"/>
        <w:numPr>
          <w:ilvl w:val="0"/>
          <w:numId w:val="16"/>
        </w:numPr>
        <w:rPr>
          <w:rFonts w:ascii="Times New Roman" w:hAnsi="Times New Roman"/>
          <w:sz w:val="24"/>
          <w:szCs w:val="24"/>
        </w:rPr>
      </w:pPr>
      <w:r w:rsidRPr="00FC7A12">
        <w:rPr>
          <w:rFonts w:ascii="Times New Roman" w:hAnsi="Times New Roman"/>
          <w:sz w:val="24"/>
          <w:szCs w:val="24"/>
        </w:rPr>
        <w:t>Izrada glavog projekta privremene priključne saobraćajnice Ulica 49 na ul. 18. septembra u Nikšiću – završen</w:t>
      </w:r>
    </w:p>
    <w:p w:rsidR="009F7C53" w:rsidRPr="00FC7A12" w:rsidRDefault="009F7C53" w:rsidP="00570B2F">
      <w:pPr>
        <w:pStyle w:val="PlainText"/>
        <w:numPr>
          <w:ilvl w:val="0"/>
          <w:numId w:val="16"/>
        </w:numPr>
        <w:rPr>
          <w:rFonts w:ascii="Times New Roman" w:hAnsi="Times New Roman"/>
          <w:sz w:val="24"/>
          <w:szCs w:val="24"/>
        </w:rPr>
      </w:pPr>
      <w:r w:rsidRPr="00FC7A12">
        <w:rPr>
          <w:rFonts w:ascii="Times New Roman" w:hAnsi="Times New Roman"/>
          <w:sz w:val="24"/>
          <w:szCs w:val="24"/>
        </w:rPr>
        <w:t>Izrada idejnog rešenja nepokretnog privremenog objekta – ugostiteljski objekat u Nikšiću – završen</w:t>
      </w:r>
    </w:p>
    <w:p w:rsidR="009F7C53" w:rsidRPr="00FC7A12" w:rsidRDefault="009F7C53" w:rsidP="00570B2F">
      <w:pPr>
        <w:pStyle w:val="PlainText"/>
        <w:numPr>
          <w:ilvl w:val="0"/>
          <w:numId w:val="16"/>
        </w:numPr>
        <w:rPr>
          <w:rFonts w:ascii="Times New Roman" w:hAnsi="Times New Roman"/>
          <w:sz w:val="24"/>
          <w:szCs w:val="24"/>
        </w:rPr>
      </w:pPr>
      <w:r w:rsidRPr="00FC7A12">
        <w:rPr>
          <w:rFonts w:ascii="Times New Roman" w:hAnsi="Times New Roman"/>
          <w:sz w:val="24"/>
          <w:szCs w:val="24"/>
        </w:rPr>
        <w:lastRenderedPageBreak/>
        <w:t>Izrada idejnih projekata rekonstrukcije seoskih puteva – IFAD 2020- završen</w:t>
      </w:r>
    </w:p>
    <w:p w:rsidR="009F7C53" w:rsidRPr="00FC7A12" w:rsidRDefault="009F7C53" w:rsidP="00570B2F">
      <w:pPr>
        <w:pStyle w:val="PlainText"/>
        <w:numPr>
          <w:ilvl w:val="0"/>
          <w:numId w:val="16"/>
        </w:numPr>
        <w:rPr>
          <w:rFonts w:ascii="Times New Roman" w:hAnsi="Times New Roman"/>
          <w:sz w:val="24"/>
          <w:szCs w:val="24"/>
        </w:rPr>
      </w:pPr>
      <w:r w:rsidRPr="00FC7A12">
        <w:rPr>
          <w:rFonts w:ascii="Times New Roman" w:hAnsi="Times New Roman"/>
          <w:sz w:val="24"/>
          <w:szCs w:val="24"/>
        </w:rPr>
        <w:t>Izrada elaborata sanacije lokalnih puteva u Banjanima, u Nikšiću - završen</w:t>
      </w:r>
    </w:p>
    <w:p w:rsidR="009F7C53" w:rsidRPr="00FC7A12" w:rsidRDefault="0073146F" w:rsidP="00570B2F">
      <w:pPr>
        <w:pStyle w:val="PlainText"/>
        <w:numPr>
          <w:ilvl w:val="0"/>
          <w:numId w:val="16"/>
        </w:numPr>
        <w:rPr>
          <w:rFonts w:ascii="Times New Roman" w:hAnsi="Times New Roman"/>
          <w:sz w:val="24"/>
          <w:szCs w:val="24"/>
        </w:rPr>
      </w:pPr>
      <w:r>
        <w:rPr>
          <w:rFonts w:ascii="Times New Roman" w:hAnsi="Times New Roman"/>
          <w:sz w:val="24"/>
          <w:szCs w:val="24"/>
        </w:rPr>
        <w:t>Izrada glavnog projekta U</w:t>
      </w:r>
      <w:r w:rsidR="009F7C53" w:rsidRPr="00FC7A12">
        <w:rPr>
          <w:rFonts w:ascii="Times New Roman" w:hAnsi="Times New Roman"/>
          <w:sz w:val="24"/>
          <w:szCs w:val="24"/>
        </w:rPr>
        <w:t>l. Janka Vukotića – faza I – u toku</w:t>
      </w:r>
    </w:p>
    <w:p w:rsidR="009F7C53" w:rsidRPr="00FC7A12" w:rsidRDefault="009F7C53" w:rsidP="00570B2F">
      <w:pPr>
        <w:pStyle w:val="PlainText"/>
        <w:numPr>
          <w:ilvl w:val="0"/>
          <w:numId w:val="16"/>
        </w:numPr>
        <w:rPr>
          <w:rFonts w:ascii="Times New Roman" w:hAnsi="Times New Roman"/>
          <w:sz w:val="24"/>
          <w:szCs w:val="24"/>
        </w:rPr>
      </w:pPr>
      <w:r w:rsidRPr="00FC7A12">
        <w:rPr>
          <w:rFonts w:ascii="Times New Roman" w:hAnsi="Times New Roman"/>
          <w:sz w:val="24"/>
          <w:szCs w:val="24"/>
        </w:rPr>
        <w:t>Izrada glavnog projekt</w:t>
      </w:r>
      <w:r w:rsidR="0073146F">
        <w:rPr>
          <w:rFonts w:ascii="Times New Roman" w:hAnsi="Times New Roman"/>
          <w:sz w:val="24"/>
          <w:szCs w:val="24"/>
        </w:rPr>
        <w:t>a uređenja terena u MZ Grudska M</w:t>
      </w:r>
      <w:r w:rsidRPr="00FC7A12">
        <w:rPr>
          <w:rFonts w:ascii="Times New Roman" w:hAnsi="Times New Roman"/>
          <w:sz w:val="24"/>
          <w:szCs w:val="24"/>
        </w:rPr>
        <w:t>ahala – faza II – u toku</w:t>
      </w:r>
    </w:p>
    <w:p w:rsidR="009F7C53" w:rsidRPr="00FC7A12" w:rsidRDefault="009F7C53" w:rsidP="00570B2F">
      <w:pPr>
        <w:pStyle w:val="PlainText"/>
        <w:numPr>
          <w:ilvl w:val="0"/>
          <w:numId w:val="16"/>
        </w:numPr>
        <w:rPr>
          <w:rFonts w:ascii="Times New Roman" w:hAnsi="Times New Roman"/>
          <w:sz w:val="24"/>
          <w:szCs w:val="24"/>
        </w:rPr>
      </w:pPr>
      <w:r w:rsidRPr="00FC7A12">
        <w:rPr>
          <w:rFonts w:ascii="Times New Roman" w:hAnsi="Times New Roman"/>
          <w:sz w:val="24"/>
          <w:szCs w:val="24"/>
        </w:rPr>
        <w:t>Izrada glavnog projekta uređenja terena u MZ Centar I – u toku</w:t>
      </w:r>
    </w:p>
    <w:p w:rsidR="009F7C53" w:rsidRPr="00FC7A12" w:rsidRDefault="009F7C53" w:rsidP="00570B2F">
      <w:pPr>
        <w:pStyle w:val="PlainText"/>
        <w:numPr>
          <w:ilvl w:val="0"/>
          <w:numId w:val="16"/>
        </w:numPr>
        <w:rPr>
          <w:rFonts w:ascii="Times New Roman" w:hAnsi="Times New Roman"/>
          <w:sz w:val="24"/>
          <w:szCs w:val="24"/>
        </w:rPr>
      </w:pPr>
      <w:r w:rsidRPr="00FC7A12">
        <w:rPr>
          <w:rFonts w:ascii="Times New Roman" w:hAnsi="Times New Roman"/>
          <w:sz w:val="24"/>
          <w:szCs w:val="24"/>
        </w:rPr>
        <w:t>Izrada glavnog projekta parkinga na Bulevaru Vuka Mićunovića (kod dječijeg dispanzera) – u toku</w:t>
      </w:r>
    </w:p>
    <w:p w:rsidR="009F7C53" w:rsidRPr="00FC7A12" w:rsidRDefault="009F7C53" w:rsidP="00570B2F">
      <w:pPr>
        <w:pStyle w:val="PlainText"/>
        <w:numPr>
          <w:ilvl w:val="0"/>
          <w:numId w:val="16"/>
        </w:numPr>
        <w:rPr>
          <w:rFonts w:ascii="Times New Roman" w:hAnsi="Times New Roman"/>
          <w:sz w:val="24"/>
          <w:szCs w:val="24"/>
        </w:rPr>
      </w:pPr>
      <w:r w:rsidRPr="00FC7A12">
        <w:rPr>
          <w:rFonts w:ascii="Times New Roman" w:hAnsi="Times New Roman"/>
          <w:sz w:val="24"/>
          <w:szCs w:val="24"/>
        </w:rPr>
        <w:t xml:space="preserve">Izrada glavnog projekta </w:t>
      </w:r>
      <w:r w:rsidR="0073146F">
        <w:rPr>
          <w:rFonts w:ascii="Times New Roman" w:hAnsi="Times New Roman"/>
          <w:sz w:val="24"/>
          <w:szCs w:val="24"/>
        </w:rPr>
        <w:t>Ge</w:t>
      </w:r>
      <w:r w:rsidRPr="00FC7A12">
        <w:rPr>
          <w:rFonts w:ascii="Times New Roman" w:hAnsi="Times New Roman"/>
          <w:sz w:val="24"/>
          <w:szCs w:val="24"/>
        </w:rPr>
        <w:t>neral štaba u Maslinama, u Podgorici – u toku</w:t>
      </w:r>
    </w:p>
    <w:p w:rsidR="009F7C53" w:rsidRPr="00FC7A12" w:rsidRDefault="009F7C53" w:rsidP="00570B2F">
      <w:pPr>
        <w:pStyle w:val="PlainText"/>
        <w:numPr>
          <w:ilvl w:val="0"/>
          <w:numId w:val="16"/>
        </w:numPr>
        <w:rPr>
          <w:rFonts w:ascii="Times New Roman" w:hAnsi="Times New Roman"/>
          <w:sz w:val="24"/>
          <w:szCs w:val="24"/>
        </w:rPr>
      </w:pPr>
      <w:r w:rsidRPr="00FC7A12">
        <w:rPr>
          <w:rFonts w:ascii="Times New Roman" w:hAnsi="Times New Roman"/>
          <w:sz w:val="24"/>
          <w:szCs w:val="24"/>
        </w:rPr>
        <w:t>Izrada projektne dokumentacije koji se finansiraju od strane IFADA-a i Vlade Crne Gore – u toku</w:t>
      </w:r>
    </w:p>
    <w:p w:rsidR="009F7C53" w:rsidRPr="00FC7A12" w:rsidRDefault="009F7C53" w:rsidP="009F7C53">
      <w:pPr>
        <w:pStyle w:val="PlainText"/>
        <w:ind w:left="720"/>
        <w:rPr>
          <w:rFonts w:ascii="Times New Roman" w:hAnsi="Times New Roman"/>
          <w:sz w:val="24"/>
          <w:szCs w:val="24"/>
        </w:rPr>
      </w:pPr>
      <w:r w:rsidRPr="00FC7A12">
        <w:rPr>
          <w:rFonts w:ascii="Times New Roman" w:hAnsi="Times New Roman"/>
          <w:sz w:val="24"/>
          <w:szCs w:val="24"/>
        </w:rPr>
        <w:t>-akumulacija Trepča</w:t>
      </w:r>
    </w:p>
    <w:p w:rsidR="009F7C53" w:rsidRPr="00FC7A12" w:rsidRDefault="009F7C53" w:rsidP="009F7C53">
      <w:pPr>
        <w:pStyle w:val="PlainText"/>
        <w:ind w:left="360"/>
        <w:rPr>
          <w:rFonts w:ascii="Times New Roman" w:hAnsi="Times New Roman"/>
          <w:sz w:val="24"/>
          <w:szCs w:val="24"/>
        </w:rPr>
      </w:pPr>
      <w:r w:rsidRPr="00FC7A12">
        <w:rPr>
          <w:rFonts w:ascii="Times New Roman" w:hAnsi="Times New Roman"/>
          <w:sz w:val="24"/>
          <w:szCs w:val="24"/>
        </w:rPr>
        <w:t xml:space="preserve">     -akumulacija Macavare</w:t>
      </w:r>
    </w:p>
    <w:p w:rsidR="009F7C53" w:rsidRPr="00FC7A12" w:rsidRDefault="009F7C53" w:rsidP="009F7C53">
      <w:pPr>
        <w:pStyle w:val="PlainText"/>
        <w:ind w:left="720"/>
        <w:rPr>
          <w:rFonts w:ascii="Times New Roman" w:hAnsi="Times New Roman"/>
          <w:sz w:val="24"/>
          <w:szCs w:val="24"/>
        </w:rPr>
      </w:pPr>
      <w:r w:rsidRPr="00FC7A12">
        <w:rPr>
          <w:rFonts w:ascii="Times New Roman" w:hAnsi="Times New Roman"/>
          <w:sz w:val="24"/>
          <w:szCs w:val="24"/>
        </w:rPr>
        <w:t>-akumulacija Jelovica</w:t>
      </w:r>
    </w:p>
    <w:p w:rsidR="009F7C53" w:rsidRPr="00FC7A12" w:rsidRDefault="009F7C53" w:rsidP="009F7C53">
      <w:pPr>
        <w:pStyle w:val="PlainText"/>
        <w:ind w:left="720"/>
        <w:rPr>
          <w:rFonts w:ascii="Times New Roman" w:hAnsi="Times New Roman"/>
          <w:sz w:val="24"/>
          <w:szCs w:val="24"/>
        </w:rPr>
      </w:pPr>
      <w:r w:rsidRPr="00FC7A12">
        <w:rPr>
          <w:rFonts w:ascii="Times New Roman" w:hAnsi="Times New Roman"/>
          <w:sz w:val="24"/>
          <w:szCs w:val="24"/>
        </w:rPr>
        <w:t>-akukulacija Prigradina</w:t>
      </w:r>
    </w:p>
    <w:p w:rsidR="009F7C53" w:rsidRPr="00FC7A12" w:rsidRDefault="009F7C53" w:rsidP="009F7C53">
      <w:pPr>
        <w:pStyle w:val="PlainText"/>
        <w:ind w:left="720"/>
        <w:rPr>
          <w:rFonts w:ascii="Times New Roman" w:hAnsi="Times New Roman"/>
          <w:sz w:val="24"/>
          <w:szCs w:val="24"/>
        </w:rPr>
      </w:pPr>
      <w:r w:rsidRPr="00FC7A12">
        <w:rPr>
          <w:rFonts w:ascii="Times New Roman" w:hAnsi="Times New Roman"/>
          <w:sz w:val="24"/>
          <w:szCs w:val="24"/>
        </w:rPr>
        <w:t>-akumulacija Ubli</w:t>
      </w:r>
    </w:p>
    <w:p w:rsidR="009F7C53" w:rsidRPr="00FC7A12" w:rsidRDefault="009F7C53" w:rsidP="009F7C53">
      <w:pPr>
        <w:pStyle w:val="PlainText"/>
        <w:ind w:left="720"/>
        <w:rPr>
          <w:rFonts w:ascii="Times New Roman" w:hAnsi="Times New Roman"/>
          <w:sz w:val="24"/>
          <w:szCs w:val="24"/>
        </w:rPr>
      </w:pPr>
      <w:r w:rsidRPr="00FC7A12">
        <w:rPr>
          <w:rFonts w:ascii="Times New Roman" w:hAnsi="Times New Roman"/>
          <w:sz w:val="24"/>
          <w:szCs w:val="24"/>
        </w:rPr>
        <w:t>-sekundarna vodovodna mreža Sjerkovici</w:t>
      </w:r>
    </w:p>
    <w:p w:rsidR="009F7C53" w:rsidRPr="00FC7A12" w:rsidRDefault="009F7C53" w:rsidP="009F7C53">
      <w:pPr>
        <w:pStyle w:val="PlainText"/>
        <w:ind w:left="720"/>
        <w:rPr>
          <w:rFonts w:ascii="Times New Roman" w:hAnsi="Times New Roman"/>
          <w:sz w:val="24"/>
          <w:szCs w:val="24"/>
        </w:rPr>
      </w:pPr>
      <w:r w:rsidRPr="00FC7A12">
        <w:rPr>
          <w:rFonts w:ascii="Times New Roman" w:hAnsi="Times New Roman"/>
          <w:sz w:val="24"/>
          <w:szCs w:val="24"/>
        </w:rPr>
        <w:t>-sekundarna vodovodna mreža Pusta strana KUTA</w:t>
      </w:r>
    </w:p>
    <w:p w:rsidR="009F7C53" w:rsidRPr="00FC7A12" w:rsidRDefault="009F7C53" w:rsidP="009F7C53">
      <w:pPr>
        <w:pStyle w:val="PlainText"/>
        <w:ind w:left="720"/>
        <w:rPr>
          <w:rFonts w:ascii="Times New Roman" w:hAnsi="Times New Roman"/>
          <w:sz w:val="24"/>
          <w:szCs w:val="24"/>
        </w:rPr>
      </w:pPr>
      <w:r w:rsidRPr="00FC7A12">
        <w:rPr>
          <w:rFonts w:ascii="Times New Roman" w:hAnsi="Times New Roman"/>
          <w:sz w:val="24"/>
          <w:szCs w:val="24"/>
        </w:rPr>
        <w:t>-sekundarna vodovodna mreža KUTA</w:t>
      </w:r>
    </w:p>
    <w:p w:rsidR="009F7C53" w:rsidRPr="00FC7A12" w:rsidRDefault="009F7C53" w:rsidP="009F7C53">
      <w:pPr>
        <w:pStyle w:val="PlainText"/>
        <w:ind w:left="720"/>
        <w:rPr>
          <w:rFonts w:ascii="Times New Roman" w:hAnsi="Times New Roman"/>
          <w:sz w:val="24"/>
          <w:szCs w:val="24"/>
        </w:rPr>
      </w:pPr>
      <w:bookmarkStart w:id="3" w:name="_GoBack"/>
      <w:bookmarkEnd w:id="3"/>
    </w:p>
    <w:p w:rsidR="009F7C53" w:rsidRPr="00FC7A12" w:rsidRDefault="009F7C53" w:rsidP="00570B2F">
      <w:pPr>
        <w:pStyle w:val="ListParagraph"/>
        <w:numPr>
          <w:ilvl w:val="0"/>
          <w:numId w:val="15"/>
        </w:numPr>
        <w:spacing w:line="259" w:lineRule="auto"/>
        <w:contextualSpacing/>
      </w:pPr>
      <w:r w:rsidRPr="00FC7A12">
        <w:rPr>
          <w:u w:val="single"/>
        </w:rPr>
        <w:t>Revizije</w:t>
      </w:r>
    </w:p>
    <w:p w:rsidR="009F7C53" w:rsidRPr="00FC7A12" w:rsidRDefault="009F7C53" w:rsidP="009F7C53">
      <w:pPr>
        <w:pStyle w:val="ListParagraph"/>
      </w:pPr>
    </w:p>
    <w:p w:rsidR="009F7C53" w:rsidRPr="00FC7A12" w:rsidRDefault="009F7C53" w:rsidP="00570B2F">
      <w:pPr>
        <w:pStyle w:val="ListParagraph"/>
        <w:numPr>
          <w:ilvl w:val="0"/>
          <w:numId w:val="23"/>
        </w:numPr>
        <w:spacing w:after="160" w:line="259" w:lineRule="auto"/>
        <w:contextualSpacing/>
      </w:pPr>
      <w:r w:rsidRPr="00FC7A12">
        <w:t>Izrada revizije elaborata o uklanjanju objekta u sklopu rekonstrukcije Doma revolucije u Nikšiću – završena</w:t>
      </w:r>
    </w:p>
    <w:p w:rsidR="009F7C53" w:rsidRPr="00FC7A12" w:rsidRDefault="009F7C53" w:rsidP="00570B2F">
      <w:pPr>
        <w:pStyle w:val="ListParagraph"/>
        <w:numPr>
          <w:ilvl w:val="0"/>
          <w:numId w:val="23"/>
        </w:numPr>
        <w:spacing w:after="160" w:line="259" w:lineRule="auto"/>
        <w:contextualSpacing/>
      </w:pPr>
      <w:r w:rsidRPr="00FC7A12">
        <w:t>Izrada revizije glavnog projekta mjesne kancelarije Trubjela, u Nikšiću – završena</w:t>
      </w:r>
    </w:p>
    <w:p w:rsidR="009F7C53" w:rsidRPr="00FC7A12" w:rsidRDefault="009F7C53" w:rsidP="00570B2F">
      <w:pPr>
        <w:pStyle w:val="ListParagraph"/>
        <w:numPr>
          <w:ilvl w:val="0"/>
          <w:numId w:val="23"/>
        </w:numPr>
        <w:spacing w:after="160" w:line="259" w:lineRule="auto"/>
        <w:contextualSpacing/>
      </w:pPr>
      <w:r w:rsidRPr="00FC7A12">
        <w:t>Izrada revizije glavnog projekta turističkog objekta – planinarskog doma u Nikšiću – završena</w:t>
      </w:r>
    </w:p>
    <w:p w:rsidR="009F7C53" w:rsidRPr="00FC7A12" w:rsidRDefault="009F7C53" w:rsidP="00570B2F">
      <w:pPr>
        <w:pStyle w:val="ListParagraph"/>
        <w:numPr>
          <w:ilvl w:val="0"/>
          <w:numId w:val="23"/>
        </w:numPr>
        <w:spacing w:after="160" w:line="259" w:lineRule="auto"/>
        <w:contextualSpacing/>
      </w:pPr>
      <w:r w:rsidRPr="00FC7A12">
        <w:t>Izrada revizije glavnog projekta rekonstrukcije u smislu nadogradnje potkrovlja na dijelu stambene zgrade – objekat br. 1, u Nikšiću – završena</w:t>
      </w:r>
    </w:p>
    <w:p w:rsidR="009F7C53" w:rsidRPr="00FC7A12" w:rsidRDefault="009F7C53" w:rsidP="00570B2F">
      <w:pPr>
        <w:pStyle w:val="ListParagraph"/>
        <w:numPr>
          <w:ilvl w:val="0"/>
          <w:numId w:val="23"/>
        </w:numPr>
        <w:spacing w:after="160" w:line="259" w:lineRule="auto"/>
        <w:contextualSpacing/>
      </w:pPr>
      <w:r w:rsidRPr="00FC7A12">
        <w:t>Izrada revizije glavnog projekta uređenja kvarta – prostor u MZ Stara Varoš – faza I, u Nikšiću – završena</w:t>
      </w:r>
    </w:p>
    <w:p w:rsidR="009F7C53" w:rsidRPr="00FC7A12" w:rsidRDefault="009F7C53" w:rsidP="00570B2F">
      <w:pPr>
        <w:pStyle w:val="ListParagraph"/>
        <w:numPr>
          <w:ilvl w:val="0"/>
          <w:numId w:val="23"/>
        </w:numPr>
        <w:spacing w:after="160" w:line="259" w:lineRule="auto"/>
        <w:contextualSpacing/>
      </w:pPr>
      <w:r w:rsidRPr="00FC7A12">
        <w:t>Izrada revizije glavnog projekta rekonstrukcije postojećeg stambenog objekta u Tivtu – završena</w:t>
      </w:r>
    </w:p>
    <w:p w:rsidR="009F7C53" w:rsidRPr="00FC7A12" w:rsidRDefault="009F7C53" w:rsidP="00570B2F">
      <w:pPr>
        <w:pStyle w:val="ListParagraph"/>
        <w:numPr>
          <w:ilvl w:val="0"/>
          <w:numId w:val="23"/>
        </w:numPr>
        <w:spacing w:after="160" w:line="259" w:lineRule="auto"/>
        <w:contextualSpacing/>
      </w:pPr>
      <w:r w:rsidRPr="00FC7A12">
        <w:t>Izrada revizije glavnog projekta rekonstrukcije lokalnog puta Nikšić – Župa ( brana Liverovići ) u dužini od 6</w:t>
      </w:r>
      <w:r w:rsidR="0073146F">
        <w:t xml:space="preserve"> </w:t>
      </w:r>
      <w:r w:rsidRPr="00FC7A12">
        <w:t>km, u Nikšiću - završena</w:t>
      </w:r>
    </w:p>
    <w:p w:rsidR="009F7C53" w:rsidRPr="00FC7A12" w:rsidRDefault="009F7C53" w:rsidP="00570B2F">
      <w:pPr>
        <w:pStyle w:val="ListParagraph"/>
        <w:numPr>
          <w:ilvl w:val="0"/>
          <w:numId w:val="23"/>
        </w:numPr>
        <w:spacing w:after="160" w:line="259" w:lineRule="auto"/>
        <w:contextualSpacing/>
      </w:pPr>
      <w:r w:rsidRPr="00FC7A12">
        <w:t>Izrada revizije glavnog projekta vikend kuće u Žabljaku – u toku</w:t>
      </w:r>
    </w:p>
    <w:p w:rsidR="009F7C53" w:rsidRPr="00FC7A12" w:rsidRDefault="009F7C53" w:rsidP="00570B2F">
      <w:pPr>
        <w:pStyle w:val="ListParagraph"/>
        <w:numPr>
          <w:ilvl w:val="0"/>
          <w:numId w:val="23"/>
        </w:numPr>
        <w:spacing w:after="160" w:line="259" w:lineRule="auto"/>
        <w:contextualSpacing/>
      </w:pPr>
      <w:r w:rsidRPr="00FC7A12">
        <w:t>Izrada revizije glavnog projekta stambenog objekta u Žabljaku – u toku</w:t>
      </w:r>
    </w:p>
    <w:p w:rsidR="009F7C53" w:rsidRPr="00FC7A12" w:rsidRDefault="009F7C53" w:rsidP="00570B2F">
      <w:pPr>
        <w:pStyle w:val="ListParagraph"/>
        <w:numPr>
          <w:ilvl w:val="0"/>
          <w:numId w:val="15"/>
        </w:numPr>
        <w:spacing w:line="259" w:lineRule="auto"/>
        <w:contextualSpacing/>
        <w:rPr>
          <w:u w:val="single"/>
        </w:rPr>
      </w:pPr>
      <w:r w:rsidRPr="00FC7A12">
        <w:rPr>
          <w:u w:val="single"/>
        </w:rPr>
        <w:t>Nadzori</w:t>
      </w:r>
    </w:p>
    <w:p w:rsidR="009F7C53" w:rsidRPr="00FC7A12" w:rsidRDefault="009F7C53" w:rsidP="009F7C53">
      <w:pPr>
        <w:pStyle w:val="ListParagraph"/>
        <w:rPr>
          <w:u w:val="single"/>
        </w:rPr>
      </w:pPr>
    </w:p>
    <w:p w:rsidR="009F7C53" w:rsidRPr="00FC7A12" w:rsidRDefault="009F7C53" w:rsidP="00570B2F">
      <w:pPr>
        <w:pStyle w:val="ListParagraph"/>
        <w:numPr>
          <w:ilvl w:val="0"/>
          <w:numId w:val="24"/>
        </w:numPr>
        <w:spacing w:line="259" w:lineRule="auto"/>
        <w:contextualSpacing/>
      </w:pPr>
      <w:r w:rsidRPr="00FC7A12">
        <w:t>Nadzor nad izvođenjem radova na izgradnji mjesne kancelarije Trubjela u Nikšiću – završen</w:t>
      </w:r>
    </w:p>
    <w:p w:rsidR="009F7C53" w:rsidRPr="00FC7A12" w:rsidRDefault="009F7C53" w:rsidP="00570B2F">
      <w:pPr>
        <w:pStyle w:val="ListParagraph"/>
        <w:numPr>
          <w:ilvl w:val="0"/>
          <w:numId w:val="24"/>
        </w:numPr>
        <w:spacing w:line="259" w:lineRule="auto"/>
        <w:contextualSpacing/>
      </w:pPr>
      <w:r w:rsidRPr="00FC7A12">
        <w:t>Nadzor nad izvođenjem radova na izgradnji vodovoda u Stubičkom kraju - završen</w:t>
      </w:r>
    </w:p>
    <w:p w:rsidR="009F7C53" w:rsidRPr="00FC7A12" w:rsidRDefault="009F7C53" w:rsidP="00570B2F">
      <w:pPr>
        <w:pStyle w:val="ListParagraph"/>
        <w:numPr>
          <w:ilvl w:val="0"/>
          <w:numId w:val="24"/>
        </w:numPr>
        <w:spacing w:line="259" w:lineRule="auto"/>
        <w:contextualSpacing/>
      </w:pPr>
      <w:r w:rsidRPr="00FC7A12">
        <w:t xml:space="preserve">Nadzor nad izvođenjem radova na sanaciji vodovodne mreže  u MZ Lukovo - završen </w:t>
      </w:r>
    </w:p>
    <w:p w:rsidR="009F7C53" w:rsidRPr="00FC7A12" w:rsidRDefault="009F7C53" w:rsidP="00570B2F">
      <w:pPr>
        <w:pStyle w:val="ListParagraph"/>
        <w:numPr>
          <w:ilvl w:val="0"/>
          <w:numId w:val="24"/>
        </w:numPr>
        <w:spacing w:line="259" w:lineRule="auto"/>
        <w:contextualSpacing/>
      </w:pPr>
      <w:r w:rsidRPr="00FC7A12">
        <w:t>Nadzor nad izvođenjem radova za obezbeđenje dodatnih količina vode za grad Nikšić - završen</w:t>
      </w:r>
    </w:p>
    <w:p w:rsidR="009F7C53" w:rsidRPr="00FC7A12" w:rsidRDefault="009F7C53" w:rsidP="00570B2F">
      <w:pPr>
        <w:pStyle w:val="ListParagraph"/>
        <w:numPr>
          <w:ilvl w:val="0"/>
          <w:numId w:val="24"/>
        </w:numPr>
        <w:spacing w:line="259" w:lineRule="auto"/>
        <w:contextualSpacing/>
      </w:pPr>
      <w:r w:rsidRPr="00FC7A12">
        <w:lastRenderedPageBreak/>
        <w:t xml:space="preserve">Nadzor nad izvođenjem radova na sanaciji vodovoda duž trase puta Nikšić-Liverovići - završen </w:t>
      </w:r>
    </w:p>
    <w:p w:rsidR="009F7C53" w:rsidRPr="00FC7A12" w:rsidRDefault="009F7C53" w:rsidP="00570B2F">
      <w:pPr>
        <w:pStyle w:val="ListParagraph"/>
        <w:numPr>
          <w:ilvl w:val="0"/>
          <w:numId w:val="24"/>
        </w:numPr>
        <w:spacing w:line="259" w:lineRule="auto"/>
        <w:contextualSpacing/>
      </w:pPr>
      <w:r w:rsidRPr="00FC7A12">
        <w:t>Nadzor nad izvođenjem radova na priključenju stambenog objekta na k.p.b.1023, KO Nikšić na vodovodnoj i kanaizacionoj mreži – završen</w:t>
      </w:r>
    </w:p>
    <w:p w:rsidR="009F7C53" w:rsidRPr="00FC7A12" w:rsidRDefault="009F7C53" w:rsidP="00570B2F">
      <w:pPr>
        <w:pStyle w:val="ListParagraph"/>
        <w:numPr>
          <w:ilvl w:val="0"/>
          <w:numId w:val="24"/>
        </w:numPr>
        <w:spacing w:line="259" w:lineRule="auto"/>
        <w:contextualSpacing/>
      </w:pPr>
      <w:r w:rsidRPr="00FC7A12">
        <w:t>Nadzor nad izvođenjem radova  na sanaciji vodovodne mreže Stara Varoš - završen</w:t>
      </w:r>
    </w:p>
    <w:p w:rsidR="009F7C53" w:rsidRPr="00FC7A12" w:rsidRDefault="009F7C53" w:rsidP="00570B2F">
      <w:pPr>
        <w:pStyle w:val="ListParagraph"/>
        <w:numPr>
          <w:ilvl w:val="0"/>
          <w:numId w:val="24"/>
        </w:numPr>
        <w:spacing w:line="259" w:lineRule="auto"/>
        <w:contextualSpacing/>
      </w:pPr>
      <w:r w:rsidRPr="00FC7A12">
        <w:t>Nadzor nad izvođenjem radova  na sanaciji vodovodne mreže od Vraćenovića do graničnog prelaza Deleuša - završen</w:t>
      </w:r>
    </w:p>
    <w:p w:rsidR="009F7C53" w:rsidRPr="00FC7A12" w:rsidRDefault="009F7C53" w:rsidP="00570B2F">
      <w:pPr>
        <w:pStyle w:val="ListParagraph"/>
        <w:numPr>
          <w:ilvl w:val="0"/>
          <w:numId w:val="24"/>
        </w:numPr>
        <w:spacing w:line="259" w:lineRule="auto"/>
        <w:contextualSpacing/>
      </w:pPr>
      <w:r w:rsidRPr="00FC7A12">
        <w:t>Nadzor nad izvođenjem radova  na sanaciji vodovodne mreže Stubički kraj - završen</w:t>
      </w:r>
    </w:p>
    <w:p w:rsidR="009F7C53" w:rsidRPr="00FC7A12" w:rsidRDefault="009F7C53" w:rsidP="00570B2F">
      <w:pPr>
        <w:pStyle w:val="ListParagraph"/>
        <w:numPr>
          <w:ilvl w:val="0"/>
          <w:numId w:val="24"/>
        </w:numPr>
        <w:spacing w:line="259" w:lineRule="auto"/>
        <w:contextualSpacing/>
      </w:pPr>
      <w:r w:rsidRPr="00FC7A12">
        <w:t>Nadzor nad izvođenjem radova na izgradnji privremenog rješenja priključne saobraćajnice naziva „Ulica 49” na ulicu 18.septembra u u Nikšiću - završen</w:t>
      </w:r>
    </w:p>
    <w:p w:rsidR="009F7C53" w:rsidRPr="00FC7A12" w:rsidRDefault="009F7C53" w:rsidP="00570B2F">
      <w:pPr>
        <w:pStyle w:val="ListParagraph"/>
        <w:numPr>
          <w:ilvl w:val="0"/>
          <w:numId w:val="24"/>
        </w:numPr>
        <w:spacing w:line="259" w:lineRule="auto"/>
        <w:contextualSpacing/>
      </w:pPr>
      <w:r w:rsidRPr="00FC7A12">
        <w:t xml:space="preserve">Nadzor nad izvođenjem radova na uređenju privremenog parkinga u </w:t>
      </w:r>
      <w:r w:rsidR="0073146F">
        <w:t>U</w:t>
      </w:r>
      <w:r w:rsidRPr="00FC7A12">
        <w:t>l. Radoja Dakića - plato Doma revolucije u Nikšiću - završen</w:t>
      </w:r>
    </w:p>
    <w:p w:rsidR="009F7C53" w:rsidRPr="00FC7A12" w:rsidRDefault="009F7C53" w:rsidP="00570B2F">
      <w:pPr>
        <w:pStyle w:val="ListParagraph"/>
        <w:numPr>
          <w:ilvl w:val="0"/>
          <w:numId w:val="24"/>
        </w:numPr>
        <w:spacing w:line="259" w:lineRule="auto"/>
        <w:contextualSpacing/>
      </w:pPr>
      <w:r w:rsidRPr="00FC7A12">
        <w:t>Nadzor nad izvođenjem radova na sanaciji Ul. Milice Vučinić u Nikšiću – u toku</w:t>
      </w:r>
    </w:p>
    <w:p w:rsidR="009F7C53" w:rsidRPr="00FC7A12" w:rsidRDefault="009F7C53" w:rsidP="00570B2F">
      <w:pPr>
        <w:pStyle w:val="ListParagraph"/>
        <w:numPr>
          <w:ilvl w:val="0"/>
          <w:numId w:val="24"/>
        </w:numPr>
        <w:spacing w:line="259" w:lineRule="auto"/>
        <w:contextualSpacing/>
      </w:pPr>
      <w:r w:rsidRPr="00FC7A12">
        <w:t>Nadzor nad izvođenjem radova na rekonstrukciji lokalnog puta Nikšić – Župa ( Halda – most na Krstovače ) u dužini od 3</w:t>
      </w:r>
      <w:r w:rsidR="0073146F">
        <w:t xml:space="preserve"> </w:t>
      </w:r>
      <w:r w:rsidRPr="00FC7A12">
        <w:t>km – u toku</w:t>
      </w:r>
    </w:p>
    <w:p w:rsidR="009F7C53" w:rsidRPr="00FC7A12" w:rsidRDefault="009F7C53" w:rsidP="00570B2F">
      <w:pPr>
        <w:pStyle w:val="ListParagraph"/>
        <w:numPr>
          <w:ilvl w:val="0"/>
          <w:numId w:val="24"/>
        </w:numPr>
        <w:spacing w:line="259" w:lineRule="auto"/>
        <w:contextualSpacing/>
      </w:pPr>
      <w:r w:rsidRPr="00FC7A12">
        <w:t>Nadzor nad izvođenjem radova na rekonstrukciji promjene namjene poslovnog dijela objekta u stambeni u višeporodičnom stambeno-poslovnom objektu u Pljevljima – u toku</w:t>
      </w:r>
    </w:p>
    <w:p w:rsidR="009F7C53" w:rsidRPr="00FC7A12" w:rsidRDefault="009F7C53" w:rsidP="00570B2F">
      <w:pPr>
        <w:pStyle w:val="ListParagraph"/>
        <w:numPr>
          <w:ilvl w:val="0"/>
          <w:numId w:val="24"/>
        </w:numPr>
        <w:spacing w:line="259" w:lineRule="auto"/>
        <w:contextualSpacing/>
      </w:pPr>
      <w:r w:rsidRPr="00FC7A12">
        <w:t>Nadzor nad izvođenjem radova na rekonstrukciji zapadne tribine stadiona FK „Sutjeska“ u Nikšiću – u toku</w:t>
      </w:r>
    </w:p>
    <w:p w:rsidR="009F7C53" w:rsidRPr="00FC7A12" w:rsidRDefault="009F7C53" w:rsidP="00570B2F">
      <w:pPr>
        <w:pStyle w:val="ListParagraph"/>
        <w:numPr>
          <w:ilvl w:val="0"/>
          <w:numId w:val="24"/>
        </w:numPr>
        <w:spacing w:line="259" w:lineRule="auto"/>
        <w:contextualSpacing/>
      </w:pPr>
      <w:r w:rsidRPr="00FC7A12">
        <w:t>Nadzor nad izvođenjem radova na izgradnji vodovoda Laz u Nikšiću – u toku</w:t>
      </w:r>
    </w:p>
    <w:p w:rsidR="009F7C53" w:rsidRPr="00FC7A12" w:rsidRDefault="009F7C53" w:rsidP="00570B2F">
      <w:pPr>
        <w:pStyle w:val="ListParagraph"/>
        <w:numPr>
          <w:ilvl w:val="0"/>
          <w:numId w:val="24"/>
        </w:numPr>
        <w:spacing w:line="259" w:lineRule="auto"/>
        <w:contextualSpacing/>
      </w:pPr>
      <w:r w:rsidRPr="00FC7A12">
        <w:t>Nadzor nad izvođenjem radova na investicionom održavanju objekata niskogradnje na teritoriji Opštine Nikšić – u toku</w:t>
      </w:r>
    </w:p>
    <w:p w:rsidR="009F7C53" w:rsidRPr="00FC7A12" w:rsidRDefault="009F7C53" w:rsidP="00570B2F">
      <w:pPr>
        <w:pStyle w:val="ListParagraph"/>
        <w:numPr>
          <w:ilvl w:val="0"/>
          <w:numId w:val="24"/>
        </w:numPr>
        <w:spacing w:line="259" w:lineRule="auto"/>
        <w:contextualSpacing/>
      </w:pPr>
      <w:r w:rsidRPr="00FC7A12">
        <w:t>Nadzor nad izvođenjem radova na izgradnji i saniranju gradsk</w:t>
      </w:r>
      <w:r w:rsidR="0073146F">
        <w:t>ih saobraćajnica na teritoriji o</w:t>
      </w:r>
      <w:r w:rsidRPr="00FC7A12">
        <w:t>pštine Nikšić – u toku</w:t>
      </w:r>
    </w:p>
    <w:p w:rsidR="009F7C53" w:rsidRPr="00FC7A12" w:rsidRDefault="009F7C53" w:rsidP="00570B2F">
      <w:pPr>
        <w:pStyle w:val="ListParagraph"/>
        <w:numPr>
          <w:ilvl w:val="0"/>
          <w:numId w:val="24"/>
        </w:numPr>
        <w:spacing w:line="259" w:lineRule="auto"/>
        <w:contextualSpacing/>
      </w:pPr>
      <w:r w:rsidRPr="00FC7A12">
        <w:t>Nadzor nad izvođenjem radova na modernizaciji</w:t>
      </w:r>
      <w:r w:rsidR="0073146F">
        <w:t xml:space="preserve"> lokalnih puteva na teritoriji o</w:t>
      </w:r>
      <w:r w:rsidRPr="00FC7A12">
        <w:t>pštine Nikšić – u toku</w:t>
      </w:r>
    </w:p>
    <w:p w:rsidR="009F7C53" w:rsidRPr="00FC7A12" w:rsidRDefault="009F7C53" w:rsidP="00570B2F">
      <w:pPr>
        <w:pStyle w:val="ListParagraph"/>
        <w:numPr>
          <w:ilvl w:val="0"/>
          <w:numId w:val="24"/>
        </w:numPr>
        <w:spacing w:line="259" w:lineRule="auto"/>
        <w:contextualSpacing/>
      </w:pPr>
      <w:r w:rsidRPr="00FC7A12">
        <w:t>Nadzor nad izvođenjem radova na izgradnji kružne saobraćajnice – faza 1, u Plužinama – u toku</w:t>
      </w:r>
    </w:p>
    <w:p w:rsidR="00636D12" w:rsidRPr="00FC7A12" w:rsidRDefault="00636D12" w:rsidP="00E34D60">
      <w:pPr>
        <w:rPr>
          <w:color w:val="FF0000"/>
        </w:rPr>
      </w:pPr>
    </w:p>
    <w:p w:rsidR="00135C88" w:rsidRPr="00FC7A12" w:rsidRDefault="00097F6C" w:rsidP="00E34D60">
      <w:r w:rsidRPr="00FC7A12">
        <w:t xml:space="preserve"> </w:t>
      </w:r>
      <w:r w:rsidR="00305A7E" w:rsidRPr="00FC7A12">
        <w:t xml:space="preserve">           Agencija je obavila </w:t>
      </w:r>
      <w:r w:rsidRPr="00FC7A12">
        <w:t>i veliki broj tehničkih pregleda, revizija i ostale poslove iz svoje nadležnosti.</w:t>
      </w:r>
    </w:p>
    <w:p w:rsidR="009F7C53" w:rsidRPr="00FC7A12" w:rsidRDefault="009F7C53" w:rsidP="00E34D60">
      <w:pPr>
        <w:keepNext/>
        <w:widowControl w:val="0"/>
        <w:tabs>
          <w:tab w:val="left" w:pos="567"/>
          <w:tab w:val="left" w:pos="720"/>
          <w:tab w:val="left" w:pos="2715"/>
        </w:tabs>
      </w:pPr>
    </w:p>
    <w:p w:rsidR="00A1120B" w:rsidRPr="00FC7A12" w:rsidRDefault="001E0992" w:rsidP="00E34D60">
      <w:pPr>
        <w:keepNext/>
        <w:widowControl w:val="0"/>
        <w:tabs>
          <w:tab w:val="left" w:pos="720"/>
          <w:tab w:val="left" w:pos="2715"/>
        </w:tabs>
        <w:jc w:val="both"/>
        <w:rPr>
          <w:b/>
          <w:i/>
          <w:color w:val="365F91" w:themeColor="accent1" w:themeShade="BF"/>
        </w:rPr>
      </w:pPr>
      <w:bookmarkStart w:id="4" w:name="_Toc390346521"/>
      <w:r w:rsidRPr="00FC7A12">
        <w:rPr>
          <w:b/>
          <w:i/>
          <w:color w:val="365F91" w:themeColor="accent1" w:themeShade="BF"/>
        </w:rPr>
        <w:t>POSLOVI NA IZGRADNJI I REVITALIZACIJI INFR</w:t>
      </w:r>
      <w:bookmarkEnd w:id="4"/>
      <w:r w:rsidR="00EB1EA1" w:rsidRPr="00FC7A12">
        <w:rPr>
          <w:b/>
          <w:i/>
          <w:color w:val="365F91" w:themeColor="accent1" w:themeShade="BF"/>
        </w:rPr>
        <w:t xml:space="preserve">ASTRUKTURE </w:t>
      </w:r>
    </w:p>
    <w:p w:rsidR="00DA70C6" w:rsidRPr="00FC7A12" w:rsidRDefault="00DA70C6" w:rsidP="00E34D60">
      <w:pPr>
        <w:keepNext/>
        <w:widowControl w:val="0"/>
        <w:tabs>
          <w:tab w:val="left" w:pos="720"/>
          <w:tab w:val="left" w:pos="2715"/>
        </w:tabs>
        <w:jc w:val="both"/>
        <w:rPr>
          <w:i/>
          <w:color w:val="365F91" w:themeColor="accent1" w:themeShade="BF"/>
        </w:rPr>
      </w:pPr>
    </w:p>
    <w:p w:rsidR="007C0814" w:rsidRPr="00FC7A12" w:rsidRDefault="007C0814" w:rsidP="00570B2F">
      <w:pPr>
        <w:numPr>
          <w:ilvl w:val="0"/>
          <w:numId w:val="19"/>
        </w:numPr>
        <w:ind w:left="644"/>
        <w:jc w:val="both"/>
        <w:rPr>
          <w:lang w:val="sl-SI"/>
        </w:rPr>
      </w:pPr>
      <w:r w:rsidRPr="00FC7A12">
        <w:tab/>
      </w:r>
      <w:r w:rsidRPr="00FC7A12">
        <w:rPr>
          <w:b/>
        </w:rPr>
        <w:t>Pregled realizovanih poslova iz Programa rada u 2020. godini</w:t>
      </w:r>
      <w:r w:rsidRPr="00FC7A12">
        <w:rPr>
          <w:lang w:val="sl-SI"/>
        </w:rPr>
        <w:t xml:space="preserve"> </w:t>
      </w:r>
      <w:r w:rsidRPr="00FC7A12">
        <w:rPr>
          <w:rFonts w:eastAsia="Calibri"/>
          <w:b/>
        </w:rPr>
        <w:t>i nastavak započetih radova u 2021.godina</w:t>
      </w:r>
    </w:p>
    <w:p w:rsidR="007C0814" w:rsidRPr="00FC7A12" w:rsidRDefault="007C0814" w:rsidP="007C0814">
      <w:pPr>
        <w:jc w:val="both"/>
        <w:rPr>
          <w:rFonts w:eastAsia="Calibri"/>
          <w:b/>
        </w:rPr>
      </w:pPr>
    </w:p>
    <w:p w:rsidR="007C0814" w:rsidRPr="00FC7A12" w:rsidRDefault="007C0814" w:rsidP="007C0814">
      <w:pPr>
        <w:jc w:val="center"/>
        <w:rPr>
          <w:rFonts w:eastAsia="Calibri"/>
          <w:b/>
        </w:rPr>
      </w:pPr>
      <w:r w:rsidRPr="00FC7A12">
        <w:rPr>
          <w:rFonts w:eastAsia="Calibri"/>
          <w:b/>
        </w:rPr>
        <w:t>Investiciono održavanje opštinskih puteva i izvođenje građevinskih radova u oblasti niskogradnje</w:t>
      </w:r>
    </w:p>
    <w:p w:rsidR="007C0814" w:rsidRPr="00FC7A12" w:rsidRDefault="007C0814" w:rsidP="007C0814">
      <w:pPr>
        <w:ind w:left="720"/>
        <w:jc w:val="both"/>
        <w:rPr>
          <w:rFonts w:eastAsia="Calibri"/>
          <w:b/>
        </w:rPr>
      </w:pPr>
    </w:p>
    <w:p w:rsidR="007C0814" w:rsidRPr="00FC7A12" w:rsidRDefault="007C0814" w:rsidP="007C0814">
      <w:pPr>
        <w:ind w:left="720"/>
        <w:jc w:val="both"/>
        <w:rPr>
          <w:rFonts w:eastAsia="Calibri"/>
          <w:b/>
        </w:rPr>
      </w:pPr>
    </w:p>
    <w:p w:rsidR="007C0814" w:rsidRPr="00FC7A12" w:rsidRDefault="007C0814" w:rsidP="007C0814">
      <w:pPr>
        <w:jc w:val="both"/>
        <w:rPr>
          <w:rFonts w:eastAsia="Calibri"/>
          <w:b/>
        </w:rPr>
      </w:pPr>
      <w:r w:rsidRPr="00FC7A12">
        <w:rPr>
          <w:rFonts w:eastAsia="Calibri"/>
          <w:b/>
        </w:rPr>
        <w:t>Izvođenje r</w:t>
      </w:r>
      <w:r w:rsidR="0073146F">
        <w:rPr>
          <w:rFonts w:eastAsia="Calibri"/>
          <w:b/>
        </w:rPr>
        <w:t>adova na uređenju kvarta Stara V</w:t>
      </w:r>
      <w:r w:rsidRPr="00FC7A12">
        <w:rPr>
          <w:rFonts w:eastAsia="Calibri"/>
          <w:b/>
        </w:rPr>
        <w:t xml:space="preserve">aroš </w:t>
      </w:r>
    </w:p>
    <w:p w:rsidR="007C0814" w:rsidRPr="00FC7A12" w:rsidRDefault="007C0814" w:rsidP="007C0814">
      <w:pPr>
        <w:jc w:val="both"/>
        <w:rPr>
          <w:rFonts w:eastAsia="Calibri"/>
        </w:rPr>
      </w:pPr>
      <w:r w:rsidRPr="00FC7A12">
        <w:rPr>
          <w:rFonts w:eastAsia="Calibri"/>
          <w:b/>
        </w:rPr>
        <w:t>Investitor:</w:t>
      </w:r>
      <w:r w:rsidRPr="00FC7A12">
        <w:rPr>
          <w:rFonts w:eastAsia="Calibri"/>
        </w:rPr>
        <w:t xml:space="preserve"> Opština Nikšić  </w:t>
      </w:r>
    </w:p>
    <w:p w:rsidR="007C0814" w:rsidRPr="00FC7A12" w:rsidRDefault="007C0814" w:rsidP="007C0814">
      <w:pPr>
        <w:jc w:val="both"/>
        <w:rPr>
          <w:rFonts w:eastAsia="Calibri"/>
        </w:rPr>
      </w:pPr>
      <w:r w:rsidRPr="00FC7A12">
        <w:rPr>
          <w:rFonts w:eastAsia="Calibri"/>
          <w:b/>
        </w:rPr>
        <w:t>Vrijednost ugovorenih radova</w:t>
      </w:r>
      <w:r w:rsidRPr="00FC7A12">
        <w:rPr>
          <w:rFonts w:eastAsia="Calibri"/>
        </w:rPr>
        <w:t xml:space="preserve">: </w:t>
      </w:r>
      <w:r w:rsidRPr="00FC7A12">
        <w:t>366.667,35 €</w:t>
      </w:r>
    </w:p>
    <w:p w:rsidR="007C0814" w:rsidRPr="00FC7A12" w:rsidRDefault="007C0814" w:rsidP="007C0814">
      <w:pPr>
        <w:jc w:val="both"/>
        <w:rPr>
          <w:rFonts w:eastAsia="Calibri"/>
        </w:rPr>
      </w:pPr>
      <w:r w:rsidRPr="00FC7A12">
        <w:rPr>
          <w:rFonts w:eastAsia="Calibri"/>
          <w:b/>
        </w:rPr>
        <w:t>Izvođač radova</w:t>
      </w:r>
      <w:r w:rsidRPr="00FC7A12">
        <w:rPr>
          <w:rFonts w:eastAsia="Calibri"/>
        </w:rPr>
        <w:t>: A.D. Mehanizacija i programat Nikšić i „Vodovod i kanalizacija“ Nikšić</w:t>
      </w:r>
    </w:p>
    <w:p w:rsidR="007C0814" w:rsidRPr="00FC7A12" w:rsidRDefault="007C0814" w:rsidP="007C0814">
      <w:pPr>
        <w:jc w:val="both"/>
        <w:rPr>
          <w:rFonts w:eastAsia="Calibri"/>
        </w:rPr>
      </w:pPr>
      <w:r w:rsidRPr="00FC7A12">
        <w:rPr>
          <w:rFonts w:eastAsia="Calibri"/>
          <w:b/>
        </w:rPr>
        <w:lastRenderedPageBreak/>
        <w:t>Nadzor</w:t>
      </w:r>
      <w:r w:rsidRPr="00FC7A12">
        <w:rPr>
          <w:rFonts w:eastAsia="Calibri"/>
        </w:rPr>
        <w:t>: Agencija za projektovanje i planiranje Opštine Nikšić</w:t>
      </w:r>
    </w:p>
    <w:p w:rsidR="007C0814" w:rsidRPr="00FC7A12" w:rsidRDefault="007C0814" w:rsidP="007C0814">
      <w:pPr>
        <w:jc w:val="both"/>
        <w:rPr>
          <w:rFonts w:eastAsia="Calibri"/>
        </w:rPr>
      </w:pPr>
      <w:r w:rsidRPr="00FC7A12">
        <w:rPr>
          <w:rFonts w:eastAsia="Calibri"/>
          <w:b/>
        </w:rPr>
        <w:t>Datum početak radova</w:t>
      </w:r>
      <w:r w:rsidRPr="00FC7A12">
        <w:rPr>
          <w:rFonts w:eastAsia="Calibri"/>
        </w:rPr>
        <w:t>: 6.03.2020. god.</w:t>
      </w:r>
    </w:p>
    <w:p w:rsidR="007C0814" w:rsidRPr="00FC7A12" w:rsidRDefault="007C0814" w:rsidP="007C0814">
      <w:pPr>
        <w:jc w:val="both"/>
        <w:rPr>
          <w:rFonts w:eastAsia="Calibri"/>
        </w:rPr>
      </w:pPr>
      <w:r w:rsidRPr="00FC7A12">
        <w:rPr>
          <w:rFonts w:eastAsia="Calibri"/>
          <w:b/>
        </w:rPr>
        <w:t>Datum završetka radova</w:t>
      </w:r>
      <w:r w:rsidRPr="00FC7A12">
        <w:rPr>
          <w:rFonts w:eastAsia="Calibri"/>
        </w:rPr>
        <w:t>: 27.06. 2020.god.</w:t>
      </w:r>
    </w:p>
    <w:p w:rsidR="007C0814" w:rsidRPr="00FC7A12" w:rsidRDefault="007C0814" w:rsidP="007C0814">
      <w:pPr>
        <w:jc w:val="both"/>
      </w:pPr>
      <w:r w:rsidRPr="00FC7A12">
        <w:t xml:space="preserve"> Rok za završetak radova bio je 6 mjesaci od dana uvo</w:t>
      </w:r>
      <w:r w:rsidR="0073146F">
        <w:t xml:space="preserve">đenja izvođača radova u posao. </w:t>
      </w:r>
      <w:r w:rsidRPr="00FC7A12">
        <w:t>Radovi su završeni prije predviđenog roka.</w:t>
      </w:r>
    </w:p>
    <w:p w:rsidR="007C0814" w:rsidRPr="00FC7A12" w:rsidRDefault="007C0814" w:rsidP="007C0814">
      <w:pPr>
        <w:jc w:val="both"/>
      </w:pPr>
    </w:p>
    <w:p w:rsidR="007C0814" w:rsidRPr="00FC7A12" w:rsidRDefault="007C0814" w:rsidP="007C0814">
      <w:pPr>
        <w:jc w:val="both"/>
        <w:rPr>
          <w:b/>
        </w:rPr>
      </w:pPr>
      <w:r w:rsidRPr="00FC7A12">
        <w:rPr>
          <w:b/>
        </w:rPr>
        <w:t>Investiciono održavanje saobraćajnica I faza u 2020.god.</w:t>
      </w:r>
    </w:p>
    <w:p w:rsidR="007C0814" w:rsidRPr="00FC7A12" w:rsidRDefault="007C0814" w:rsidP="007C0814">
      <w:pPr>
        <w:jc w:val="both"/>
      </w:pPr>
    </w:p>
    <w:p w:rsidR="007C0814" w:rsidRPr="00FC7A12" w:rsidRDefault="007C0814" w:rsidP="007C0814">
      <w:pPr>
        <w:jc w:val="both"/>
      </w:pPr>
      <w:r w:rsidRPr="00FC7A12">
        <w:rPr>
          <w:b/>
        </w:rPr>
        <w:t>Investitor:</w:t>
      </w:r>
      <w:r w:rsidRPr="00FC7A12">
        <w:t xml:space="preserve"> Opština Nikšić </w:t>
      </w:r>
    </w:p>
    <w:p w:rsidR="007C0814" w:rsidRPr="00FC7A12" w:rsidRDefault="007C0814" w:rsidP="007C0814">
      <w:pPr>
        <w:jc w:val="both"/>
      </w:pPr>
      <w:r w:rsidRPr="00FC7A12">
        <w:rPr>
          <w:b/>
        </w:rPr>
        <w:t>Vrijednost</w:t>
      </w:r>
      <w:r w:rsidRPr="00FC7A12">
        <w:t xml:space="preserve"> </w:t>
      </w:r>
      <w:r w:rsidRPr="00FC7A12">
        <w:rPr>
          <w:b/>
        </w:rPr>
        <w:t>ugovorenih radova</w:t>
      </w:r>
      <w:r w:rsidRPr="00FC7A12">
        <w:t>: 399. 965,50 €</w:t>
      </w:r>
    </w:p>
    <w:p w:rsidR="007C0814" w:rsidRPr="00FC7A12" w:rsidRDefault="007C0814" w:rsidP="007C0814">
      <w:pPr>
        <w:jc w:val="both"/>
        <w:rPr>
          <w:b/>
        </w:rPr>
      </w:pPr>
      <w:r w:rsidRPr="00FC7A12">
        <w:rPr>
          <w:b/>
        </w:rPr>
        <w:t>Izvođač radova: A.D.Mehanizacija i programat Nikšić</w:t>
      </w:r>
    </w:p>
    <w:p w:rsidR="007C0814" w:rsidRPr="00FC7A12" w:rsidRDefault="007C0814" w:rsidP="007C0814">
      <w:pPr>
        <w:jc w:val="both"/>
        <w:rPr>
          <w:b/>
        </w:rPr>
      </w:pPr>
      <w:r w:rsidRPr="00FC7A12">
        <w:rPr>
          <w:rFonts w:eastAsia="Calibri"/>
          <w:b/>
        </w:rPr>
        <w:t>Nadzor</w:t>
      </w:r>
      <w:r w:rsidRPr="00FC7A12">
        <w:rPr>
          <w:rFonts w:eastAsia="Calibri"/>
        </w:rPr>
        <w:t>: Agencija za projektovanje i planiranje Opštine Nikšić</w:t>
      </w:r>
    </w:p>
    <w:p w:rsidR="007C0814" w:rsidRPr="00FC7A12" w:rsidRDefault="007C0814" w:rsidP="007C0814">
      <w:pPr>
        <w:jc w:val="both"/>
      </w:pPr>
      <w:r w:rsidRPr="00FC7A12">
        <w:rPr>
          <w:b/>
        </w:rPr>
        <w:t>Datum početak</w:t>
      </w:r>
      <w:r w:rsidRPr="00FC7A12">
        <w:t xml:space="preserve"> </w:t>
      </w:r>
      <w:r w:rsidRPr="00FC7A12">
        <w:rPr>
          <w:b/>
        </w:rPr>
        <w:t>radova</w:t>
      </w:r>
      <w:r w:rsidRPr="00FC7A12">
        <w:t>: april 2020.god.</w:t>
      </w:r>
    </w:p>
    <w:p w:rsidR="007C0814" w:rsidRPr="00FC7A12" w:rsidRDefault="007C0814" w:rsidP="007C0814">
      <w:pPr>
        <w:jc w:val="both"/>
      </w:pPr>
      <w:r w:rsidRPr="00FC7A12">
        <w:rPr>
          <w:b/>
        </w:rPr>
        <w:t>Datum završetka radova</w:t>
      </w:r>
      <w:r w:rsidRPr="00FC7A12">
        <w:t>: Radovi u ovoj fazi su završeni u 2020. god., a utroseno je 397.403.97 €.</w:t>
      </w:r>
    </w:p>
    <w:p w:rsidR="007C0814" w:rsidRPr="00FC7A12" w:rsidRDefault="007C0814" w:rsidP="007C0814">
      <w:pPr>
        <w:jc w:val="both"/>
      </w:pPr>
      <w:r w:rsidRPr="00FC7A12">
        <w:t>Radovi na investicionom održavanju izvođeni su u MZ:</w:t>
      </w:r>
    </w:p>
    <w:p w:rsidR="007C0814" w:rsidRPr="00FC7A12" w:rsidRDefault="007C0814" w:rsidP="007C0814">
      <w:pPr>
        <w:jc w:val="both"/>
      </w:pPr>
      <w:r w:rsidRPr="00FC7A12">
        <w:t>Vraćenovići, Trubjela, Rastoci, Centar i Centar I, Miolje Pol</w:t>
      </w:r>
      <w:r w:rsidR="0073146F">
        <w:t>je, Župa, Kočani, Humci, Stara V</w:t>
      </w:r>
      <w:r w:rsidRPr="00FC7A12">
        <w:t>aroš, Uzdomir, Brezovački most,</w:t>
      </w:r>
      <w:r w:rsidR="0073146F">
        <w:t xml:space="preserve"> </w:t>
      </w:r>
      <w:r w:rsidRPr="00FC7A12">
        <w:t xml:space="preserve">Tović, Šipačno, Šume, Orah, Dolovi i Poljice. </w:t>
      </w:r>
    </w:p>
    <w:p w:rsidR="007C0814" w:rsidRPr="00FC7A12" w:rsidRDefault="007C0814" w:rsidP="007C0814">
      <w:pPr>
        <w:jc w:val="both"/>
      </w:pPr>
    </w:p>
    <w:p w:rsidR="007C0814" w:rsidRPr="00FC7A12" w:rsidRDefault="007C0814" w:rsidP="007C0814">
      <w:pPr>
        <w:jc w:val="both"/>
      </w:pPr>
    </w:p>
    <w:p w:rsidR="007C0814" w:rsidRPr="00FC7A12" w:rsidRDefault="007C0814" w:rsidP="007C0814">
      <w:pPr>
        <w:jc w:val="both"/>
        <w:rPr>
          <w:b/>
        </w:rPr>
      </w:pPr>
      <w:r w:rsidRPr="00FC7A12">
        <w:rPr>
          <w:b/>
        </w:rPr>
        <w:t>Investiciono održavanje saobraćajnica II faza u 2020.god.</w:t>
      </w:r>
    </w:p>
    <w:p w:rsidR="007C0814" w:rsidRPr="00FC7A12" w:rsidRDefault="007C0814" w:rsidP="007C0814">
      <w:pPr>
        <w:jc w:val="both"/>
        <w:rPr>
          <w:b/>
        </w:rPr>
      </w:pPr>
    </w:p>
    <w:p w:rsidR="007C0814" w:rsidRPr="00FC7A12" w:rsidRDefault="007C0814" w:rsidP="007C0814">
      <w:pPr>
        <w:jc w:val="both"/>
      </w:pPr>
      <w:r w:rsidRPr="00FC7A12">
        <w:rPr>
          <w:b/>
        </w:rPr>
        <w:t xml:space="preserve">Investitor: </w:t>
      </w:r>
      <w:r w:rsidRPr="00FC7A12">
        <w:t xml:space="preserve">Opština Nikšić </w:t>
      </w:r>
    </w:p>
    <w:p w:rsidR="007C0814" w:rsidRPr="00FC7A12" w:rsidRDefault="007C0814" w:rsidP="007C0814">
      <w:pPr>
        <w:jc w:val="both"/>
      </w:pPr>
      <w:r w:rsidRPr="00FC7A12">
        <w:rPr>
          <w:b/>
        </w:rPr>
        <w:t xml:space="preserve">Vrijednost ugovorenih radova: </w:t>
      </w:r>
      <w:r w:rsidRPr="00FC7A12">
        <w:t>749.897.50 €</w:t>
      </w:r>
    </w:p>
    <w:p w:rsidR="007C0814" w:rsidRPr="00FC7A12" w:rsidRDefault="007C0814" w:rsidP="007C0814">
      <w:pPr>
        <w:jc w:val="both"/>
        <w:rPr>
          <w:b/>
        </w:rPr>
      </w:pPr>
      <w:r w:rsidRPr="00FC7A12">
        <w:rPr>
          <w:b/>
        </w:rPr>
        <w:t>Izvođač radova: A.D.Mehanizacija i programat Nikšić</w:t>
      </w:r>
    </w:p>
    <w:p w:rsidR="007C0814" w:rsidRPr="00FC7A12" w:rsidRDefault="007C0814" w:rsidP="007C0814">
      <w:pPr>
        <w:jc w:val="both"/>
        <w:rPr>
          <w:b/>
        </w:rPr>
      </w:pPr>
      <w:r w:rsidRPr="00FC7A12">
        <w:rPr>
          <w:rFonts w:eastAsia="Calibri"/>
          <w:b/>
        </w:rPr>
        <w:t>Nadzor</w:t>
      </w:r>
      <w:r w:rsidRPr="00FC7A12">
        <w:rPr>
          <w:rFonts w:eastAsia="Calibri"/>
        </w:rPr>
        <w:t>: Agencija za projektovanje i planiranje Opštine Nikšić</w:t>
      </w:r>
    </w:p>
    <w:p w:rsidR="007C0814" w:rsidRPr="00FC7A12" w:rsidRDefault="007C0814" w:rsidP="007C0814">
      <w:pPr>
        <w:jc w:val="both"/>
      </w:pPr>
      <w:r w:rsidRPr="00FC7A12">
        <w:rPr>
          <w:b/>
        </w:rPr>
        <w:t xml:space="preserve">Datum početak radova: </w:t>
      </w:r>
      <w:r w:rsidRPr="00FC7A12">
        <w:t>oktobar 2020. god.</w:t>
      </w:r>
    </w:p>
    <w:p w:rsidR="007C0814" w:rsidRPr="00FC7A12" w:rsidRDefault="007C0814" w:rsidP="007C0814">
      <w:pPr>
        <w:jc w:val="both"/>
      </w:pPr>
      <w:r w:rsidRPr="00FC7A12">
        <w:rPr>
          <w:b/>
        </w:rPr>
        <w:t xml:space="preserve">Datum završetka radova: </w:t>
      </w:r>
      <w:r w:rsidRPr="00FC7A12">
        <w:t>Radovi su nastavljeni i u 2021. god.</w:t>
      </w:r>
    </w:p>
    <w:p w:rsidR="007C0814" w:rsidRPr="00FC7A12" w:rsidRDefault="007C0814" w:rsidP="007C0814">
      <w:pPr>
        <w:jc w:val="both"/>
      </w:pPr>
      <w:r w:rsidRPr="00FC7A12">
        <w:t>Do kraja decembra 2020.god utroseno je 405.956.63 € a izvođeni su u MZ:</w:t>
      </w:r>
    </w:p>
    <w:p w:rsidR="007C0814" w:rsidRPr="00FC7A12" w:rsidRDefault="007C0814" w:rsidP="007C0814">
      <w:pPr>
        <w:jc w:val="both"/>
        <w:rPr>
          <w:lang w:val="sr-Latn-ME"/>
        </w:rPr>
      </w:pPr>
      <w:r w:rsidRPr="00FC7A12">
        <w:t>Poljice, Brocanac, Ozrinici, Laz, Lukov</w:t>
      </w:r>
      <w:r w:rsidR="0073146F">
        <w:t>o, Zupa, Ducice, Jugovici, Kuta</w:t>
      </w:r>
      <w:r w:rsidRPr="00FC7A12">
        <w:t>,</w:t>
      </w:r>
      <w:r w:rsidR="0073146F">
        <w:t xml:space="preserve"> </w:t>
      </w:r>
      <w:r w:rsidRPr="00FC7A12">
        <w:t>Dragovoljici, Rubeza, Dragova Luka, Grahovo, Trubjela, Bogetici, Glibavaca i Klicevo. U okviru ove faze radova izvedeni su radovi na sanaciji ulice Milice Vucinic, asfaltiranje pristupnih puteva u Zupi, saniranje trotoara u</w:t>
      </w:r>
      <w:r w:rsidR="004A2D76">
        <w:t xml:space="preserve"> ulicama Peta proleterska</w:t>
      </w:r>
      <w:r w:rsidRPr="00FC7A12">
        <w:t xml:space="preserve">,  Radoja Dakica i Nika Miljanica,  asfaltiranje ulice iza manastira  i pored Bistrice. </w:t>
      </w:r>
    </w:p>
    <w:p w:rsidR="007C0814" w:rsidRPr="00FC7A12" w:rsidRDefault="007C0814" w:rsidP="007C0814">
      <w:pPr>
        <w:jc w:val="both"/>
      </w:pPr>
    </w:p>
    <w:p w:rsidR="007C0814" w:rsidRPr="00FC7A12" w:rsidRDefault="004A2D76" w:rsidP="007C0814">
      <w:pPr>
        <w:jc w:val="both"/>
        <w:rPr>
          <w:rFonts w:eastAsia="Calibri"/>
          <w:b/>
        </w:rPr>
      </w:pPr>
      <w:r>
        <w:rPr>
          <w:rFonts w:eastAsia="Calibri"/>
          <w:b/>
        </w:rPr>
        <w:t>Rekonstrukcija U</w:t>
      </w:r>
      <w:r w:rsidR="007C0814" w:rsidRPr="00FC7A12">
        <w:rPr>
          <w:rFonts w:eastAsia="Calibri"/>
          <w:b/>
        </w:rPr>
        <w:t>lice Krsta Kostića</w:t>
      </w:r>
    </w:p>
    <w:p w:rsidR="007C0814" w:rsidRPr="00FC7A12" w:rsidRDefault="007C0814" w:rsidP="007C0814">
      <w:pPr>
        <w:jc w:val="both"/>
        <w:rPr>
          <w:rFonts w:eastAsia="Calibri"/>
        </w:rPr>
      </w:pPr>
    </w:p>
    <w:p w:rsidR="007C0814" w:rsidRPr="00FC7A12" w:rsidRDefault="007C0814" w:rsidP="007C0814">
      <w:pPr>
        <w:jc w:val="both"/>
        <w:rPr>
          <w:rFonts w:eastAsia="Calibri"/>
        </w:rPr>
      </w:pPr>
      <w:r w:rsidRPr="00FC7A12">
        <w:rPr>
          <w:rFonts w:eastAsia="Calibri"/>
          <w:b/>
        </w:rPr>
        <w:t>Investitor</w:t>
      </w:r>
      <w:r w:rsidRPr="00FC7A12">
        <w:rPr>
          <w:rFonts w:eastAsia="Calibri"/>
        </w:rPr>
        <w:t xml:space="preserve">: Opština Nikšić i Uprava javnih radova Podgorica </w:t>
      </w:r>
    </w:p>
    <w:p w:rsidR="007C0814" w:rsidRPr="00FC7A12" w:rsidRDefault="007C0814" w:rsidP="007C0814">
      <w:pPr>
        <w:jc w:val="both"/>
        <w:rPr>
          <w:rFonts w:eastAsia="Calibri"/>
        </w:rPr>
      </w:pPr>
      <w:r w:rsidRPr="00FC7A12">
        <w:rPr>
          <w:rFonts w:eastAsia="Calibri"/>
          <w:b/>
        </w:rPr>
        <w:t>Vrijednost ugovorenih  radova</w:t>
      </w:r>
      <w:r w:rsidRPr="00FC7A12">
        <w:rPr>
          <w:rFonts w:eastAsia="Calibri"/>
        </w:rPr>
        <w:t>: 213.938,06 €</w:t>
      </w:r>
    </w:p>
    <w:p w:rsidR="007C0814" w:rsidRPr="00FC7A12" w:rsidRDefault="007C0814" w:rsidP="007C0814">
      <w:pPr>
        <w:jc w:val="both"/>
        <w:rPr>
          <w:rFonts w:eastAsia="Calibri"/>
        </w:rPr>
      </w:pPr>
      <w:r w:rsidRPr="00FC7A12">
        <w:rPr>
          <w:rFonts w:eastAsia="Calibri"/>
          <w:b/>
        </w:rPr>
        <w:t>Izvođač radova</w:t>
      </w:r>
      <w:r w:rsidRPr="00FC7A12">
        <w:rPr>
          <w:rFonts w:eastAsia="Calibri"/>
        </w:rPr>
        <w:t>: A.D.Mehanizacija i programat Nikšić</w:t>
      </w:r>
    </w:p>
    <w:p w:rsidR="007C0814" w:rsidRPr="00FC7A12" w:rsidRDefault="007C0814" w:rsidP="007C0814">
      <w:pPr>
        <w:jc w:val="both"/>
        <w:rPr>
          <w:rFonts w:eastAsia="Calibri"/>
          <w:lang w:val="sr-Latn-ME"/>
        </w:rPr>
      </w:pPr>
      <w:r w:rsidRPr="00FC7A12">
        <w:rPr>
          <w:rFonts w:eastAsia="Calibri"/>
          <w:b/>
        </w:rPr>
        <w:t>Nadzor</w:t>
      </w:r>
      <w:r w:rsidRPr="00FC7A12">
        <w:rPr>
          <w:rFonts w:eastAsia="Calibri"/>
        </w:rPr>
        <w:t xml:space="preserve">: Agencija za projektovanje i planiranje Opštine Nikšić </w:t>
      </w:r>
    </w:p>
    <w:p w:rsidR="007C0814" w:rsidRPr="00FC7A12" w:rsidRDefault="007C0814" w:rsidP="007C0814">
      <w:pPr>
        <w:jc w:val="both"/>
        <w:rPr>
          <w:rFonts w:eastAsia="Calibri"/>
        </w:rPr>
      </w:pPr>
      <w:r w:rsidRPr="00FC7A12">
        <w:rPr>
          <w:rFonts w:eastAsia="Calibri"/>
          <w:b/>
        </w:rPr>
        <w:t>Datum početak radova</w:t>
      </w:r>
      <w:r w:rsidRPr="00FC7A12">
        <w:rPr>
          <w:rFonts w:eastAsia="Calibri"/>
        </w:rPr>
        <w:t>: novembar 2019. god.</w:t>
      </w:r>
    </w:p>
    <w:p w:rsidR="007C0814" w:rsidRPr="00FC7A12" w:rsidRDefault="007C0814" w:rsidP="007C0814">
      <w:pPr>
        <w:jc w:val="both"/>
        <w:rPr>
          <w:rFonts w:eastAsia="Calibri"/>
        </w:rPr>
      </w:pPr>
      <w:r w:rsidRPr="00FC7A12">
        <w:rPr>
          <w:rFonts w:eastAsia="Calibri"/>
          <w:b/>
        </w:rPr>
        <w:t>Datum završetka radova</w:t>
      </w:r>
      <w:r w:rsidRPr="00FC7A12">
        <w:rPr>
          <w:rFonts w:eastAsia="Calibri"/>
        </w:rPr>
        <w:t>:  avgust 2020. god.</w:t>
      </w:r>
    </w:p>
    <w:p w:rsidR="007C0814" w:rsidRPr="00FC7A12" w:rsidRDefault="007C0814" w:rsidP="007C0814">
      <w:pPr>
        <w:jc w:val="both"/>
        <w:rPr>
          <w:rFonts w:eastAsia="Calibri"/>
        </w:rPr>
      </w:pPr>
    </w:p>
    <w:p w:rsidR="007C0814" w:rsidRPr="00FC7A12" w:rsidRDefault="007C0814" w:rsidP="007C0814">
      <w:pPr>
        <w:jc w:val="both"/>
        <w:rPr>
          <w:color w:val="FF0000"/>
        </w:rPr>
      </w:pPr>
      <w:r w:rsidRPr="00FC7A12">
        <w:t xml:space="preserve">     Opština Nikšić i Direkcija javnih radova su u 2019. godini započeli realiz</w:t>
      </w:r>
      <w:r w:rsidR="004A2D76">
        <w:t>aciju  projekta rekonstrukcije U</w:t>
      </w:r>
      <w:r w:rsidRPr="00FC7A12">
        <w:t xml:space="preserve">lice Krsta Kostića. Tokom 2019.god izvedeni su zemljani radovi, djelimično radovi na postavljanju ivičnjaka, kao i radovi na postavljanju hidrotehničkih instalacija i rasvjete. </w:t>
      </w:r>
      <w:r w:rsidRPr="00FC7A12">
        <w:lastRenderedPageBreak/>
        <w:t xml:space="preserve">Tokom 2020.god nastavljeni su radovi na rekonstrukciji ulice i završeni su u avgustu 2020.god. Vrijednost izvedenih  radova bila je 209812.77 </w:t>
      </w:r>
      <w:r w:rsidRPr="00FC7A12">
        <w:rPr>
          <w:rFonts w:eastAsia="Calibri"/>
        </w:rPr>
        <w:t>€</w:t>
      </w:r>
      <w:r w:rsidRPr="00FC7A12">
        <w:rPr>
          <w:color w:val="FF0000"/>
        </w:rPr>
        <w:t>.</w:t>
      </w:r>
    </w:p>
    <w:p w:rsidR="007C0814" w:rsidRPr="00FC7A12" w:rsidRDefault="007C0814" w:rsidP="007C0814">
      <w:pPr>
        <w:jc w:val="both"/>
      </w:pPr>
    </w:p>
    <w:p w:rsidR="007C0814" w:rsidRPr="00FC7A12" w:rsidRDefault="007C0814" w:rsidP="007C0814">
      <w:pPr>
        <w:jc w:val="both"/>
        <w:rPr>
          <w:rFonts w:eastAsia="Calibri"/>
          <w:b/>
        </w:rPr>
      </w:pPr>
      <w:r w:rsidRPr="00FC7A12">
        <w:rPr>
          <w:rFonts w:eastAsia="Calibri"/>
          <w:b/>
        </w:rPr>
        <w:t xml:space="preserve">Izvođenje </w:t>
      </w:r>
      <w:r w:rsidR="004A2D76">
        <w:rPr>
          <w:rFonts w:eastAsia="Calibri"/>
          <w:b/>
        </w:rPr>
        <w:t>radova na izgradnji parkinga u U</w:t>
      </w:r>
      <w:r w:rsidRPr="00FC7A12">
        <w:rPr>
          <w:rFonts w:eastAsia="Calibri"/>
          <w:b/>
        </w:rPr>
        <w:t>l. Radoja Dakića /ispred Grmeča/</w:t>
      </w:r>
    </w:p>
    <w:p w:rsidR="007C0814" w:rsidRPr="00FC7A12" w:rsidRDefault="007C0814" w:rsidP="007C0814">
      <w:pPr>
        <w:ind w:left="720"/>
        <w:jc w:val="both"/>
        <w:rPr>
          <w:rFonts w:eastAsia="Calibri"/>
          <w:b/>
        </w:rPr>
      </w:pPr>
      <w:r w:rsidRPr="00FC7A12">
        <w:rPr>
          <w:rFonts w:eastAsia="Calibri"/>
          <w:b/>
        </w:rPr>
        <w:t xml:space="preserve"> </w:t>
      </w:r>
    </w:p>
    <w:p w:rsidR="007C0814" w:rsidRPr="00FC7A12" w:rsidRDefault="007C0814" w:rsidP="007C0814">
      <w:pPr>
        <w:jc w:val="both"/>
        <w:rPr>
          <w:rFonts w:eastAsia="Calibri"/>
        </w:rPr>
      </w:pPr>
      <w:r w:rsidRPr="00FC7A12">
        <w:rPr>
          <w:rFonts w:eastAsia="Calibri"/>
          <w:b/>
        </w:rPr>
        <w:t>Investitor:</w:t>
      </w:r>
      <w:r w:rsidRPr="00FC7A12">
        <w:rPr>
          <w:rFonts w:eastAsia="Calibri"/>
        </w:rPr>
        <w:t xml:space="preserve"> Opština Nikšić  </w:t>
      </w:r>
    </w:p>
    <w:p w:rsidR="007C0814" w:rsidRPr="00FC7A12" w:rsidRDefault="007C0814" w:rsidP="007C0814">
      <w:pPr>
        <w:jc w:val="both"/>
        <w:rPr>
          <w:rFonts w:eastAsia="Calibri"/>
        </w:rPr>
      </w:pPr>
      <w:r w:rsidRPr="00FC7A12">
        <w:rPr>
          <w:rFonts w:eastAsia="Calibri"/>
          <w:b/>
        </w:rPr>
        <w:t>Vrijednost ugovorenih radova</w:t>
      </w:r>
      <w:r w:rsidRPr="00FC7A12">
        <w:rPr>
          <w:rFonts w:eastAsia="Calibri"/>
        </w:rPr>
        <w:t>: 69.928,85 €</w:t>
      </w:r>
    </w:p>
    <w:p w:rsidR="007C0814" w:rsidRPr="00FC7A12" w:rsidRDefault="007C0814" w:rsidP="007C0814">
      <w:pPr>
        <w:jc w:val="both"/>
        <w:rPr>
          <w:rFonts w:eastAsia="Calibri"/>
        </w:rPr>
      </w:pPr>
      <w:r w:rsidRPr="00FC7A12">
        <w:rPr>
          <w:rFonts w:eastAsia="Calibri"/>
          <w:b/>
        </w:rPr>
        <w:t>Izvođač radova</w:t>
      </w:r>
      <w:r w:rsidRPr="00FC7A12">
        <w:rPr>
          <w:rFonts w:eastAsia="Calibri"/>
        </w:rPr>
        <w:t>: A.D.</w:t>
      </w:r>
      <w:r w:rsidR="004A2D76">
        <w:rPr>
          <w:rFonts w:eastAsia="Calibri"/>
        </w:rPr>
        <w:t xml:space="preserve"> </w:t>
      </w:r>
      <w:r w:rsidRPr="00FC7A12">
        <w:rPr>
          <w:rFonts w:eastAsia="Calibri"/>
        </w:rPr>
        <w:t>Mehanizacija i programat Nikšić</w:t>
      </w:r>
    </w:p>
    <w:p w:rsidR="007C0814" w:rsidRPr="00FC7A12" w:rsidRDefault="007C0814" w:rsidP="007C0814">
      <w:pPr>
        <w:jc w:val="both"/>
        <w:rPr>
          <w:rFonts w:eastAsia="Calibri"/>
        </w:rPr>
      </w:pPr>
      <w:r w:rsidRPr="00FC7A12">
        <w:rPr>
          <w:rFonts w:eastAsia="Calibri"/>
          <w:b/>
        </w:rPr>
        <w:t>Nadzor</w:t>
      </w:r>
      <w:r w:rsidRPr="00FC7A12">
        <w:rPr>
          <w:rFonts w:eastAsia="Calibri"/>
        </w:rPr>
        <w:t>: Agencija za projektovanje i planiranje Opštine Nikšić</w:t>
      </w:r>
    </w:p>
    <w:p w:rsidR="007C0814" w:rsidRPr="00FC7A12" w:rsidRDefault="007C0814" w:rsidP="007C0814">
      <w:pPr>
        <w:jc w:val="both"/>
        <w:rPr>
          <w:rFonts w:eastAsia="Calibri"/>
        </w:rPr>
      </w:pPr>
      <w:r w:rsidRPr="00FC7A12">
        <w:rPr>
          <w:rFonts w:eastAsia="Calibri"/>
          <w:b/>
        </w:rPr>
        <w:t>Datum početak radova</w:t>
      </w:r>
      <w:r w:rsidRPr="00FC7A12">
        <w:rPr>
          <w:rFonts w:eastAsia="Calibri"/>
        </w:rPr>
        <w:t>: april 2020. god.</w:t>
      </w:r>
    </w:p>
    <w:p w:rsidR="007C0814" w:rsidRPr="00FC7A12" w:rsidRDefault="007C0814" w:rsidP="007C0814">
      <w:pPr>
        <w:jc w:val="both"/>
        <w:rPr>
          <w:rFonts w:eastAsia="Calibri"/>
        </w:rPr>
      </w:pPr>
      <w:r w:rsidRPr="00FC7A12">
        <w:rPr>
          <w:rFonts w:eastAsia="Calibri"/>
          <w:b/>
        </w:rPr>
        <w:t>Datum završetka radova</w:t>
      </w:r>
      <w:r w:rsidRPr="00FC7A12">
        <w:rPr>
          <w:rFonts w:eastAsia="Calibri"/>
        </w:rPr>
        <w:t>: jul 2020. god.</w:t>
      </w:r>
    </w:p>
    <w:p w:rsidR="007C0814" w:rsidRPr="00FC7A12" w:rsidRDefault="007C0814" w:rsidP="007C0814">
      <w:pPr>
        <w:jc w:val="both"/>
        <w:rPr>
          <w:rFonts w:eastAsia="Calibri"/>
        </w:rPr>
      </w:pPr>
    </w:p>
    <w:p w:rsidR="007C0814" w:rsidRPr="00FC7A12" w:rsidRDefault="007C0814" w:rsidP="007C0814">
      <w:pPr>
        <w:jc w:val="both"/>
      </w:pPr>
      <w:r w:rsidRPr="00FC7A12">
        <w:t xml:space="preserve">    Rok za završetak radova bio je 4 mjeseca od dana uvođenja izvođača radova u posao. Ukupna vrijednost izvedenih radova  iznosila je 68.819,71 €. Radovi su završeni prije predviđenog roka.</w:t>
      </w:r>
    </w:p>
    <w:p w:rsidR="007C0814" w:rsidRPr="00FC7A12" w:rsidRDefault="007C0814" w:rsidP="007C0814">
      <w:pPr>
        <w:jc w:val="both"/>
      </w:pPr>
    </w:p>
    <w:p w:rsidR="007C0814" w:rsidRPr="00FC7A12" w:rsidRDefault="007C0814" w:rsidP="007C0814">
      <w:pPr>
        <w:jc w:val="both"/>
        <w:rPr>
          <w:rFonts w:eastAsia="Calibri"/>
          <w:b/>
          <w:color w:val="FF0000"/>
        </w:rPr>
      </w:pPr>
    </w:p>
    <w:p w:rsidR="007C0814" w:rsidRPr="00FC7A12" w:rsidRDefault="007C0814" w:rsidP="00967BE8">
      <w:pPr>
        <w:rPr>
          <w:b/>
        </w:rPr>
      </w:pPr>
      <w:r w:rsidRPr="00FC7A12">
        <w:rPr>
          <w:b/>
        </w:rPr>
        <w:t>Rekonstrukcija lokalnog puta Rubeža – Miolje Polje – Morakovo  (dužina 20 km) - nastavak investicije iz 2019. god.</w:t>
      </w:r>
      <w:r w:rsidR="00967BE8" w:rsidRPr="00FC7A12">
        <w:rPr>
          <w:b/>
        </w:rPr>
        <w:t xml:space="preserve">- </w:t>
      </w:r>
      <w:r w:rsidRPr="00FC7A12">
        <w:rPr>
          <w:b/>
        </w:rPr>
        <w:t>dionica R</w:t>
      </w:r>
      <w:r w:rsidR="00967BE8" w:rsidRPr="00FC7A12">
        <w:rPr>
          <w:b/>
        </w:rPr>
        <w:t xml:space="preserve">ubeža – Krstovače – Liverovići </w:t>
      </w:r>
    </w:p>
    <w:p w:rsidR="007C0814" w:rsidRPr="00FC7A12" w:rsidRDefault="007C0814" w:rsidP="007C0814">
      <w:pPr>
        <w:pStyle w:val="ListParagraph"/>
        <w:spacing w:after="200" w:line="276" w:lineRule="auto"/>
        <w:contextualSpacing/>
        <w:rPr>
          <w:b/>
        </w:rPr>
      </w:pPr>
    </w:p>
    <w:p w:rsidR="007C0814" w:rsidRPr="00FC7A12" w:rsidRDefault="007C0814" w:rsidP="007C0814">
      <w:pPr>
        <w:jc w:val="both"/>
        <w:rPr>
          <w:rFonts w:eastAsia="Calibri"/>
          <w:b/>
        </w:rPr>
      </w:pPr>
      <w:r w:rsidRPr="00FC7A12">
        <w:rPr>
          <w:rFonts w:eastAsia="Calibri"/>
          <w:b/>
        </w:rPr>
        <w:t xml:space="preserve">Investitor: </w:t>
      </w:r>
      <w:r w:rsidRPr="00FC7A12">
        <w:rPr>
          <w:rFonts w:eastAsia="Calibri"/>
        </w:rPr>
        <w:t>Opština Nikšić</w:t>
      </w:r>
      <w:r w:rsidRPr="00FC7A12">
        <w:rPr>
          <w:rFonts w:eastAsia="Calibri"/>
          <w:b/>
        </w:rPr>
        <w:t xml:space="preserve">  </w:t>
      </w:r>
    </w:p>
    <w:p w:rsidR="007C0814" w:rsidRPr="00FC7A12" w:rsidRDefault="007C0814" w:rsidP="007C0814">
      <w:pPr>
        <w:jc w:val="both"/>
        <w:rPr>
          <w:rFonts w:eastAsia="Calibri"/>
        </w:rPr>
      </w:pPr>
      <w:r w:rsidRPr="00FC7A12">
        <w:rPr>
          <w:rFonts w:eastAsia="Calibri"/>
          <w:b/>
        </w:rPr>
        <w:t xml:space="preserve">Vrijednost ugovorenih radova: </w:t>
      </w:r>
      <w:r w:rsidRPr="00FC7A12">
        <w:rPr>
          <w:rFonts w:eastAsia="Calibri"/>
        </w:rPr>
        <w:t>1.349.924,40 €</w:t>
      </w:r>
    </w:p>
    <w:p w:rsidR="007C0814" w:rsidRPr="00FC7A12" w:rsidRDefault="007C0814" w:rsidP="007C0814">
      <w:pPr>
        <w:jc w:val="both"/>
        <w:rPr>
          <w:rFonts w:eastAsia="Calibri"/>
          <w:b/>
        </w:rPr>
      </w:pPr>
      <w:r w:rsidRPr="00FC7A12">
        <w:rPr>
          <w:rFonts w:eastAsia="Calibri"/>
          <w:b/>
        </w:rPr>
        <w:t xml:space="preserve">Izvođač radova: </w:t>
      </w:r>
      <w:r w:rsidRPr="00FC7A12">
        <w:rPr>
          <w:rFonts w:eastAsia="Calibri"/>
        </w:rPr>
        <w:t>A.D.Mehanizacija i programat Nikšić</w:t>
      </w:r>
    </w:p>
    <w:p w:rsidR="007C0814" w:rsidRPr="00FC7A12" w:rsidRDefault="007C0814" w:rsidP="007C0814">
      <w:pPr>
        <w:jc w:val="both"/>
        <w:rPr>
          <w:rFonts w:eastAsia="Calibri"/>
          <w:b/>
          <w:lang w:val="sr-Latn-ME"/>
        </w:rPr>
      </w:pPr>
      <w:r w:rsidRPr="00FC7A12">
        <w:rPr>
          <w:rFonts w:eastAsia="Calibri"/>
          <w:b/>
        </w:rPr>
        <w:t xml:space="preserve">Nadzor: </w:t>
      </w:r>
      <w:r w:rsidRPr="00FC7A12">
        <w:rPr>
          <w:rFonts w:eastAsia="Calibri"/>
        </w:rPr>
        <w:t>Agencija za projektovanje i planiranje Opštine Nikšić</w:t>
      </w:r>
      <w:r w:rsidRPr="00FC7A12">
        <w:rPr>
          <w:rFonts w:eastAsia="Calibri"/>
          <w:b/>
        </w:rPr>
        <w:t xml:space="preserve"> </w:t>
      </w:r>
    </w:p>
    <w:p w:rsidR="007C0814" w:rsidRPr="00FC7A12" w:rsidRDefault="007C0814" w:rsidP="007C0814">
      <w:pPr>
        <w:jc w:val="both"/>
        <w:rPr>
          <w:rFonts w:eastAsia="Calibri"/>
          <w:b/>
        </w:rPr>
      </w:pPr>
      <w:r w:rsidRPr="00FC7A12">
        <w:rPr>
          <w:rFonts w:eastAsia="Calibri"/>
          <w:b/>
        </w:rPr>
        <w:t xml:space="preserve">Datum početak radova: </w:t>
      </w:r>
      <w:r w:rsidRPr="00FC7A12">
        <w:rPr>
          <w:rFonts w:eastAsia="Calibri"/>
        </w:rPr>
        <w:t>jun</w:t>
      </w:r>
      <w:r w:rsidRPr="00FC7A12">
        <w:rPr>
          <w:rFonts w:eastAsia="Calibri"/>
          <w:b/>
        </w:rPr>
        <w:t xml:space="preserve"> </w:t>
      </w:r>
      <w:r w:rsidRPr="00FC7A12">
        <w:rPr>
          <w:rFonts w:eastAsia="Calibri"/>
        </w:rPr>
        <w:t>2019. god</w:t>
      </w:r>
      <w:r w:rsidRPr="00FC7A12">
        <w:rPr>
          <w:rFonts w:eastAsia="Calibri"/>
          <w:b/>
        </w:rPr>
        <w:t>.</w:t>
      </w:r>
    </w:p>
    <w:p w:rsidR="007C0814" w:rsidRPr="00FC7A12" w:rsidRDefault="007C0814" w:rsidP="007C0814">
      <w:pPr>
        <w:jc w:val="both"/>
        <w:rPr>
          <w:rFonts w:eastAsia="Calibri"/>
        </w:rPr>
      </w:pPr>
      <w:r w:rsidRPr="00FC7A12">
        <w:rPr>
          <w:rFonts w:eastAsia="Calibri"/>
          <w:b/>
        </w:rPr>
        <w:t xml:space="preserve">Datum završetka radova: </w:t>
      </w:r>
      <w:r w:rsidRPr="00FC7A12">
        <w:rPr>
          <w:rFonts w:eastAsia="Calibri"/>
        </w:rPr>
        <w:t>31.12.2020. god.</w:t>
      </w:r>
    </w:p>
    <w:p w:rsidR="007C0814" w:rsidRPr="00FC7A12" w:rsidRDefault="007C0814" w:rsidP="007C0814">
      <w:r w:rsidRPr="00FC7A12">
        <w:t>U 2019. godini završena je rekonstrukcija puta u dužini od 2 km vrijednosti 446.858,45 €</w:t>
      </w:r>
    </w:p>
    <w:p w:rsidR="007C0814" w:rsidRPr="00FC7A12" w:rsidRDefault="007C0814" w:rsidP="007C0814">
      <w:pPr>
        <w:jc w:val="both"/>
      </w:pPr>
      <w:r w:rsidRPr="00FC7A12">
        <w:t>U 2020. godini nastavljeni su i zavrseni radovi na rekonstrukciji naredna 4 km puta.</w:t>
      </w:r>
      <w:r w:rsidRPr="00FC7A12">
        <w:rPr>
          <w:color w:val="FF0000"/>
        </w:rPr>
        <w:t xml:space="preserve"> </w:t>
      </w:r>
      <w:r w:rsidRPr="00FC7A12">
        <w:t xml:space="preserve">Radovi su obuhvatili pozicije uklanjanja postojećeg asfalta, zemljane radove, zamjenu materijala na mjestima slabe nosivosti, postavljanje tamponskog i asfaltnih slojeva, betoniranje rigola, ivičnih traka, kavanja kosina, rekonstrukciju propusta.  </w:t>
      </w:r>
    </w:p>
    <w:p w:rsidR="007C0814" w:rsidRPr="00FC7A12" w:rsidRDefault="007C0814" w:rsidP="007C0814">
      <w:pPr>
        <w:jc w:val="both"/>
      </w:pPr>
      <w:r w:rsidRPr="00FC7A12">
        <w:t xml:space="preserve">U toku je izrada tehničke dokumentacije za preostali dio puta u dužini od 14 km. </w:t>
      </w:r>
    </w:p>
    <w:p w:rsidR="007C0814" w:rsidRPr="00FC7A12" w:rsidRDefault="007C0814" w:rsidP="007C0814">
      <w:pPr>
        <w:jc w:val="both"/>
        <w:rPr>
          <w:color w:val="FF0000"/>
        </w:rPr>
      </w:pPr>
    </w:p>
    <w:p w:rsidR="007C0814" w:rsidRPr="00FC7A12" w:rsidRDefault="007C0814" w:rsidP="007C0814">
      <w:pPr>
        <w:tabs>
          <w:tab w:val="center" w:pos="4680"/>
        </w:tabs>
        <w:rPr>
          <w:rFonts w:eastAsia="Calibri"/>
          <w:b/>
        </w:rPr>
      </w:pPr>
      <w:r w:rsidRPr="00FC7A12">
        <w:rPr>
          <w:rFonts w:eastAsia="Calibri"/>
          <w:b/>
        </w:rPr>
        <w:t>Izgradnja 49. ulice</w:t>
      </w:r>
    </w:p>
    <w:p w:rsidR="007C0814" w:rsidRPr="00FC7A12" w:rsidRDefault="007C0814" w:rsidP="007C0814">
      <w:pPr>
        <w:jc w:val="both"/>
        <w:rPr>
          <w:rFonts w:eastAsia="Calibri"/>
          <w:b/>
        </w:rPr>
      </w:pPr>
    </w:p>
    <w:p w:rsidR="007C0814" w:rsidRPr="00FC7A12" w:rsidRDefault="007C0814" w:rsidP="007C0814">
      <w:pPr>
        <w:jc w:val="both"/>
        <w:rPr>
          <w:rFonts w:eastAsia="Calibri"/>
          <w:b/>
        </w:rPr>
      </w:pPr>
      <w:r w:rsidRPr="00FC7A12">
        <w:rPr>
          <w:rFonts w:eastAsia="Calibri"/>
          <w:b/>
        </w:rPr>
        <w:t xml:space="preserve">Investitor: </w:t>
      </w:r>
      <w:r w:rsidRPr="00FC7A12">
        <w:rPr>
          <w:rFonts w:eastAsia="Calibri"/>
        </w:rPr>
        <w:t>Opština Nikšić</w:t>
      </w:r>
      <w:r w:rsidRPr="00FC7A12">
        <w:rPr>
          <w:rFonts w:eastAsia="Calibri"/>
          <w:b/>
        </w:rPr>
        <w:t xml:space="preserve">  </w:t>
      </w:r>
    </w:p>
    <w:p w:rsidR="007C0814" w:rsidRPr="00FC7A12" w:rsidRDefault="007C0814" w:rsidP="007C0814">
      <w:pPr>
        <w:jc w:val="both"/>
        <w:rPr>
          <w:rFonts w:eastAsia="Calibri"/>
        </w:rPr>
      </w:pPr>
      <w:r w:rsidRPr="00FC7A12">
        <w:rPr>
          <w:rFonts w:eastAsia="Calibri"/>
          <w:b/>
        </w:rPr>
        <w:t>Vrijednost ugovorenih radova: 14 9945,70</w:t>
      </w:r>
      <w:r w:rsidRPr="00FC7A12">
        <w:rPr>
          <w:rFonts w:eastAsia="Calibri"/>
        </w:rPr>
        <w:t>€</w:t>
      </w:r>
    </w:p>
    <w:p w:rsidR="007C0814" w:rsidRPr="00FC7A12" w:rsidRDefault="007C0814" w:rsidP="007C0814">
      <w:pPr>
        <w:jc w:val="both"/>
        <w:rPr>
          <w:rFonts w:eastAsia="Calibri"/>
          <w:b/>
        </w:rPr>
      </w:pPr>
      <w:r w:rsidRPr="00FC7A12">
        <w:rPr>
          <w:rFonts w:eastAsia="Calibri"/>
          <w:b/>
        </w:rPr>
        <w:t xml:space="preserve">Izvođač radova: </w:t>
      </w:r>
      <w:r w:rsidRPr="00FC7A12">
        <w:rPr>
          <w:rFonts w:eastAsia="Calibri"/>
        </w:rPr>
        <w:t>A.D.Mehanizacija i programat Nikšić</w:t>
      </w:r>
    </w:p>
    <w:p w:rsidR="007C0814" w:rsidRPr="00FC7A12" w:rsidRDefault="007C0814" w:rsidP="007C0814">
      <w:pPr>
        <w:jc w:val="both"/>
        <w:rPr>
          <w:rFonts w:eastAsia="Calibri"/>
          <w:b/>
          <w:lang w:val="sr-Latn-ME"/>
        </w:rPr>
      </w:pPr>
      <w:r w:rsidRPr="00FC7A12">
        <w:rPr>
          <w:rFonts w:eastAsia="Calibri"/>
          <w:b/>
        </w:rPr>
        <w:t xml:space="preserve">Nadzor: </w:t>
      </w:r>
      <w:r w:rsidRPr="00FC7A12">
        <w:rPr>
          <w:rFonts w:eastAsia="Calibri"/>
        </w:rPr>
        <w:t>Agencija za projektovanje i planiranje Opštine Nikšić</w:t>
      </w:r>
      <w:r w:rsidRPr="00FC7A12">
        <w:rPr>
          <w:rFonts w:eastAsia="Calibri"/>
          <w:b/>
        </w:rPr>
        <w:t xml:space="preserve"> </w:t>
      </w:r>
    </w:p>
    <w:p w:rsidR="007C0814" w:rsidRPr="00FC7A12" w:rsidRDefault="007C0814" w:rsidP="007C0814">
      <w:pPr>
        <w:jc w:val="both"/>
        <w:rPr>
          <w:rFonts w:eastAsia="Calibri"/>
          <w:b/>
        </w:rPr>
      </w:pPr>
      <w:r w:rsidRPr="00FC7A12">
        <w:rPr>
          <w:rFonts w:eastAsia="Calibri"/>
          <w:b/>
        </w:rPr>
        <w:t xml:space="preserve">Datum početak radova: </w:t>
      </w:r>
      <w:r w:rsidRPr="00FC7A12">
        <w:rPr>
          <w:rFonts w:eastAsia="Calibri"/>
        </w:rPr>
        <w:t>decembar 2019.god</w:t>
      </w:r>
      <w:r w:rsidRPr="00FC7A12">
        <w:rPr>
          <w:rFonts w:eastAsia="Calibri"/>
          <w:b/>
        </w:rPr>
        <w:t>.</w:t>
      </w:r>
    </w:p>
    <w:p w:rsidR="007C0814" w:rsidRPr="00FC7A12" w:rsidRDefault="007C0814" w:rsidP="007C0814">
      <w:pPr>
        <w:jc w:val="both"/>
        <w:rPr>
          <w:rFonts w:eastAsia="Calibri"/>
        </w:rPr>
      </w:pPr>
      <w:r w:rsidRPr="00FC7A12">
        <w:rPr>
          <w:rFonts w:eastAsia="Calibri"/>
          <w:b/>
        </w:rPr>
        <w:t xml:space="preserve">Datum završetka radova: </w:t>
      </w:r>
      <w:r w:rsidRPr="00FC7A12">
        <w:rPr>
          <w:rFonts w:eastAsia="Calibri"/>
        </w:rPr>
        <w:t>jul.2020.god.</w:t>
      </w:r>
    </w:p>
    <w:p w:rsidR="007C0814" w:rsidRPr="00FC7A12" w:rsidRDefault="007C0814" w:rsidP="007C0814">
      <w:pPr>
        <w:jc w:val="both"/>
        <w:rPr>
          <w:rFonts w:eastAsia="Calibri"/>
          <w:b/>
        </w:rPr>
      </w:pPr>
    </w:p>
    <w:p w:rsidR="007C0814" w:rsidRPr="00FC7A12" w:rsidRDefault="007C0814" w:rsidP="007C0814">
      <w:pPr>
        <w:jc w:val="both"/>
        <w:rPr>
          <w:rFonts w:eastAsia="Calibri"/>
          <w:b/>
          <w:lang w:val="sr-Latn-ME"/>
        </w:rPr>
      </w:pPr>
      <w:r w:rsidRPr="00FC7A12">
        <w:rPr>
          <w:rFonts w:eastAsia="Calibri"/>
          <w:b/>
        </w:rPr>
        <w:t>I</w:t>
      </w:r>
      <w:r w:rsidRPr="00FC7A12">
        <w:rPr>
          <w:rFonts w:eastAsia="Calibri"/>
          <w:b/>
          <w:lang w:val="sr-Latn-ME"/>
        </w:rPr>
        <w:t>zgradnja parkinga uz Dom revolucije</w:t>
      </w:r>
    </w:p>
    <w:p w:rsidR="007C0814" w:rsidRPr="00FC7A12" w:rsidRDefault="007C0814" w:rsidP="007C0814">
      <w:pPr>
        <w:jc w:val="both"/>
        <w:rPr>
          <w:rFonts w:eastAsia="Calibri"/>
          <w:b/>
          <w:lang w:val="sr-Latn-ME"/>
        </w:rPr>
      </w:pPr>
    </w:p>
    <w:p w:rsidR="007C0814" w:rsidRPr="00FC7A12" w:rsidRDefault="007C0814" w:rsidP="007C0814">
      <w:pPr>
        <w:jc w:val="both"/>
        <w:rPr>
          <w:rFonts w:eastAsia="Calibri"/>
          <w:b/>
        </w:rPr>
      </w:pPr>
      <w:r w:rsidRPr="00FC7A12">
        <w:rPr>
          <w:rFonts w:eastAsia="Calibri"/>
          <w:b/>
        </w:rPr>
        <w:t xml:space="preserve">Investitor: </w:t>
      </w:r>
      <w:r w:rsidRPr="00FC7A12">
        <w:rPr>
          <w:rFonts w:eastAsia="Calibri"/>
        </w:rPr>
        <w:t>Opština Nikšić</w:t>
      </w:r>
      <w:r w:rsidRPr="00FC7A12">
        <w:rPr>
          <w:rFonts w:eastAsia="Calibri"/>
          <w:b/>
        </w:rPr>
        <w:t xml:space="preserve">  </w:t>
      </w:r>
    </w:p>
    <w:p w:rsidR="007C0814" w:rsidRPr="00FC7A12" w:rsidRDefault="007C0814" w:rsidP="007C0814">
      <w:pPr>
        <w:jc w:val="both"/>
        <w:rPr>
          <w:rFonts w:eastAsia="Calibri"/>
        </w:rPr>
      </w:pPr>
      <w:r w:rsidRPr="00FC7A12">
        <w:rPr>
          <w:rFonts w:eastAsia="Calibri"/>
          <w:b/>
        </w:rPr>
        <w:t>Vrijednost ugovorenih radova:189.935,73</w:t>
      </w:r>
      <w:r w:rsidRPr="00FC7A12">
        <w:rPr>
          <w:rFonts w:eastAsia="Calibri"/>
        </w:rPr>
        <w:t>€</w:t>
      </w:r>
    </w:p>
    <w:p w:rsidR="007C0814" w:rsidRPr="00FC7A12" w:rsidRDefault="007C0814" w:rsidP="007C0814">
      <w:pPr>
        <w:jc w:val="both"/>
        <w:rPr>
          <w:rFonts w:eastAsia="Calibri"/>
          <w:b/>
        </w:rPr>
      </w:pPr>
      <w:r w:rsidRPr="00FC7A12">
        <w:rPr>
          <w:rFonts w:eastAsia="Calibri"/>
          <w:b/>
        </w:rPr>
        <w:t xml:space="preserve">Izvođač radova: </w:t>
      </w:r>
      <w:r w:rsidRPr="00FC7A12">
        <w:rPr>
          <w:rFonts w:eastAsia="Calibri"/>
        </w:rPr>
        <w:t>A.D.Mehanizacija i programat Nikšić</w:t>
      </w:r>
    </w:p>
    <w:p w:rsidR="007C0814" w:rsidRPr="00FC7A12" w:rsidRDefault="007C0814" w:rsidP="007C0814">
      <w:pPr>
        <w:jc w:val="both"/>
        <w:rPr>
          <w:rFonts w:eastAsia="Calibri"/>
          <w:b/>
          <w:lang w:val="sr-Latn-ME"/>
        </w:rPr>
      </w:pPr>
      <w:r w:rsidRPr="00FC7A12">
        <w:rPr>
          <w:rFonts w:eastAsia="Calibri"/>
          <w:b/>
        </w:rPr>
        <w:lastRenderedPageBreak/>
        <w:t xml:space="preserve">Nadzor: </w:t>
      </w:r>
      <w:r w:rsidRPr="00FC7A12">
        <w:rPr>
          <w:rFonts w:eastAsia="Calibri"/>
        </w:rPr>
        <w:t>Agencija za projektovanje i planiranje Opštine Nikšić</w:t>
      </w:r>
      <w:r w:rsidRPr="00FC7A12">
        <w:rPr>
          <w:rFonts w:eastAsia="Calibri"/>
          <w:b/>
        </w:rPr>
        <w:t xml:space="preserve"> </w:t>
      </w:r>
    </w:p>
    <w:p w:rsidR="007C0814" w:rsidRPr="00FC7A12" w:rsidRDefault="007C0814" w:rsidP="007C0814">
      <w:pPr>
        <w:jc w:val="both"/>
        <w:rPr>
          <w:rFonts w:eastAsia="Calibri"/>
          <w:b/>
        </w:rPr>
      </w:pPr>
      <w:r w:rsidRPr="00FC7A12">
        <w:rPr>
          <w:rFonts w:eastAsia="Calibri"/>
          <w:b/>
        </w:rPr>
        <w:t xml:space="preserve">Datum početka radova: </w:t>
      </w:r>
      <w:r w:rsidRPr="00FC7A12">
        <w:rPr>
          <w:rFonts w:eastAsia="Calibri"/>
        </w:rPr>
        <w:t>decembar 2019. god</w:t>
      </w:r>
      <w:r w:rsidRPr="00FC7A12">
        <w:rPr>
          <w:rFonts w:eastAsia="Calibri"/>
          <w:b/>
        </w:rPr>
        <w:t>.</w:t>
      </w:r>
    </w:p>
    <w:p w:rsidR="007C0814" w:rsidRPr="00FC7A12" w:rsidRDefault="007C0814" w:rsidP="007C0814">
      <w:pPr>
        <w:jc w:val="both"/>
        <w:rPr>
          <w:rFonts w:eastAsia="Calibri"/>
        </w:rPr>
      </w:pPr>
      <w:r w:rsidRPr="00FC7A12">
        <w:rPr>
          <w:rFonts w:eastAsia="Calibri"/>
          <w:b/>
        </w:rPr>
        <w:t xml:space="preserve">Datum završetka radova: </w:t>
      </w:r>
      <w:r w:rsidRPr="00FC7A12">
        <w:rPr>
          <w:rFonts w:eastAsia="Calibri"/>
        </w:rPr>
        <w:t>jul 2020. god.</w:t>
      </w:r>
    </w:p>
    <w:p w:rsidR="007C0814" w:rsidRPr="00FC7A12" w:rsidRDefault="007C0814" w:rsidP="007C0814">
      <w:pPr>
        <w:jc w:val="both"/>
        <w:rPr>
          <w:rFonts w:eastAsia="Calibri"/>
        </w:rPr>
      </w:pPr>
      <w:r w:rsidRPr="00FC7A12">
        <w:rPr>
          <w:rFonts w:eastAsia="Calibri"/>
        </w:rPr>
        <w:t>Okončana situacija iznosila je 189.835,67 €. Pored izgradnje parking izveden je i potporni zid zbog izrazite denivelacije terena pored parking.</w:t>
      </w:r>
    </w:p>
    <w:p w:rsidR="007C0814" w:rsidRPr="00FC7A12" w:rsidRDefault="007C0814" w:rsidP="007C0814">
      <w:pPr>
        <w:jc w:val="both"/>
      </w:pPr>
    </w:p>
    <w:p w:rsidR="007C0814" w:rsidRPr="00FC7A12" w:rsidRDefault="007C0814" w:rsidP="007C0814">
      <w:pPr>
        <w:jc w:val="both"/>
        <w:rPr>
          <w:b/>
        </w:rPr>
      </w:pPr>
      <w:r w:rsidRPr="00FC7A12">
        <w:rPr>
          <w:b/>
        </w:rPr>
        <w:t>Rekonstrukcija magistralnog puta Trubjela – Vilusi</w:t>
      </w:r>
    </w:p>
    <w:p w:rsidR="007C0814" w:rsidRPr="00FC7A12" w:rsidRDefault="007C0814" w:rsidP="007C0814">
      <w:r w:rsidRPr="00FC7A12">
        <w:t>Investitor: Uprava za saobraćaj</w:t>
      </w:r>
    </w:p>
    <w:p w:rsidR="007C0814" w:rsidRPr="00FC7A12" w:rsidRDefault="007C0814" w:rsidP="007C0814">
      <w:r w:rsidRPr="00FC7A12">
        <w:t>Vrijednost investicije:10.000.000,00 €</w:t>
      </w:r>
    </w:p>
    <w:p w:rsidR="007C0814" w:rsidRPr="00FC7A12" w:rsidRDefault="007C0814" w:rsidP="007C0814">
      <w:r w:rsidRPr="00FC7A12">
        <w:t>Izvođač radova: A.D. Mehanizacija i programat</w:t>
      </w:r>
    </w:p>
    <w:p w:rsidR="007C0814" w:rsidRPr="00FC7A12" w:rsidRDefault="007C0814" w:rsidP="007C0814"/>
    <w:p w:rsidR="007C0814" w:rsidRPr="00FC7A12" w:rsidRDefault="007C0814" w:rsidP="007C0814">
      <w:pPr>
        <w:jc w:val="both"/>
      </w:pPr>
      <w:r w:rsidRPr="00FC7A12">
        <w:rPr>
          <w:b/>
        </w:rPr>
        <w:t>Izgradnja četiri stambene zgrade za pripadnike MUP-a, Uprave policije i ANB-</w:t>
      </w:r>
      <w:r w:rsidRPr="00FC7A12">
        <w:t>a.</w:t>
      </w:r>
    </w:p>
    <w:p w:rsidR="007C0814" w:rsidRPr="00FC7A12" w:rsidRDefault="007C0814" w:rsidP="007C0814">
      <w:pPr>
        <w:jc w:val="both"/>
      </w:pPr>
      <w:r w:rsidRPr="00FC7A12">
        <w:t>Investitor: Sindikat Uprave policije Crne Gore, MUP, ANB/Opština Nikšić</w:t>
      </w:r>
    </w:p>
    <w:p w:rsidR="007C0814" w:rsidRPr="00FC7A12" w:rsidRDefault="007C0814" w:rsidP="007C0814">
      <w:pPr>
        <w:jc w:val="both"/>
      </w:pPr>
      <w:r w:rsidRPr="00FC7A12">
        <w:t>Ugovorena vrijednost radova: 4.000.000,00 €</w:t>
      </w:r>
    </w:p>
    <w:p w:rsidR="007C0814" w:rsidRPr="00FC7A12" w:rsidRDefault="007C0814" w:rsidP="007C0814">
      <w:pPr>
        <w:jc w:val="both"/>
      </w:pPr>
      <w:r w:rsidRPr="00FC7A12">
        <w:t>Izvođač radova: Roaming Nikšić</w:t>
      </w:r>
    </w:p>
    <w:p w:rsidR="00967BE8" w:rsidRPr="00FC7A12" w:rsidRDefault="00967BE8" w:rsidP="00967BE8">
      <w:pPr>
        <w:tabs>
          <w:tab w:val="left" w:pos="1455"/>
        </w:tabs>
      </w:pPr>
    </w:p>
    <w:p w:rsidR="007C0814" w:rsidRPr="00FC7A12" w:rsidRDefault="007C0814" w:rsidP="007C0814">
      <w:pPr>
        <w:tabs>
          <w:tab w:val="left" w:pos="1455"/>
        </w:tabs>
        <w:jc w:val="center"/>
        <w:rPr>
          <w:b/>
        </w:rPr>
      </w:pPr>
    </w:p>
    <w:p w:rsidR="007C0814" w:rsidRPr="00FC7A12" w:rsidRDefault="007C0814" w:rsidP="007C0814">
      <w:pPr>
        <w:jc w:val="both"/>
        <w:rPr>
          <w:b/>
        </w:rPr>
      </w:pPr>
      <w:r w:rsidRPr="00FC7A12">
        <w:rPr>
          <w:b/>
        </w:rPr>
        <w:t>Izgradnja Doma za stare</w:t>
      </w:r>
    </w:p>
    <w:p w:rsidR="007C0814" w:rsidRPr="00FC7A12" w:rsidRDefault="007C0814" w:rsidP="007C0814">
      <w:pPr>
        <w:jc w:val="both"/>
      </w:pPr>
      <w:r w:rsidRPr="00FC7A12">
        <w:t>Investitor: Uprava javnih radova, Razvojna banka Savjeta Evrope (donacija)</w:t>
      </w:r>
    </w:p>
    <w:p w:rsidR="007C0814" w:rsidRPr="00FC7A12" w:rsidRDefault="007C0814" w:rsidP="007C0814">
      <w:pPr>
        <w:jc w:val="both"/>
      </w:pPr>
      <w:r w:rsidRPr="00FC7A12">
        <w:t>Ugovorena vrijednost radova: 5.700.000,00 €</w:t>
      </w:r>
    </w:p>
    <w:p w:rsidR="007C0814" w:rsidRPr="00FC7A12" w:rsidRDefault="007C0814" w:rsidP="007C0814">
      <w:pPr>
        <w:jc w:val="both"/>
      </w:pPr>
      <w:r w:rsidRPr="00FC7A12">
        <w:t>Izvođač radova: LD gradnja</w:t>
      </w:r>
    </w:p>
    <w:p w:rsidR="007C0814" w:rsidRPr="00FC7A12" w:rsidRDefault="007C0814" w:rsidP="007C0814">
      <w:pPr>
        <w:jc w:val="both"/>
      </w:pPr>
      <w:r w:rsidRPr="00FC7A12">
        <w:t>Radovi u toku</w:t>
      </w:r>
    </w:p>
    <w:p w:rsidR="007C0814" w:rsidRPr="00FC7A12" w:rsidRDefault="007C0814" w:rsidP="007C0814">
      <w:pPr>
        <w:jc w:val="both"/>
      </w:pPr>
    </w:p>
    <w:p w:rsidR="007C0814" w:rsidRPr="00FC7A12" w:rsidRDefault="007C0814" w:rsidP="007C0814">
      <w:pPr>
        <w:jc w:val="both"/>
        <w:rPr>
          <w:b/>
        </w:rPr>
      </w:pPr>
      <w:r w:rsidRPr="00FC7A12">
        <w:rPr>
          <w:b/>
        </w:rPr>
        <w:t>Rekonstrukcija Gradskog stadiona</w:t>
      </w:r>
    </w:p>
    <w:p w:rsidR="007C0814" w:rsidRPr="00FC7A12" w:rsidRDefault="007C0814" w:rsidP="007C0814">
      <w:pPr>
        <w:jc w:val="both"/>
      </w:pPr>
      <w:r w:rsidRPr="00FC7A12">
        <w:t>Investitor: Uprava javnih radova i Fudbalski savez Crne Gore</w:t>
      </w:r>
    </w:p>
    <w:p w:rsidR="007C0814" w:rsidRPr="00FC7A12" w:rsidRDefault="007C0814" w:rsidP="007C0814">
      <w:pPr>
        <w:jc w:val="both"/>
      </w:pPr>
      <w:r w:rsidRPr="00FC7A12">
        <w:t>Ugovorena vrijednost radova: 4.600.000,00 €</w:t>
      </w:r>
    </w:p>
    <w:p w:rsidR="007C0814" w:rsidRPr="00FC7A12" w:rsidRDefault="007C0814" w:rsidP="007C0814">
      <w:pPr>
        <w:jc w:val="both"/>
      </w:pPr>
      <w:r w:rsidRPr="00FC7A12">
        <w:t>Izvođač radova: Roaming Nikšić</w:t>
      </w:r>
    </w:p>
    <w:p w:rsidR="007C0814" w:rsidRPr="00FC7A12" w:rsidRDefault="007C0814" w:rsidP="007C0814">
      <w:pPr>
        <w:jc w:val="both"/>
      </w:pPr>
      <w:r w:rsidRPr="00FC7A12">
        <w:t>Radovi u toku</w:t>
      </w:r>
    </w:p>
    <w:p w:rsidR="007C0814" w:rsidRPr="00FC7A12" w:rsidRDefault="007C0814" w:rsidP="007C0814">
      <w:pPr>
        <w:jc w:val="both"/>
      </w:pPr>
    </w:p>
    <w:p w:rsidR="007C0814" w:rsidRPr="00FC7A12" w:rsidRDefault="007C0814" w:rsidP="007C0814">
      <w:pPr>
        <w:jc w:val="both"/>
        <w:rPr>
          <w:b/>
        </w:rPr>
      </w:pPr>
      <w:r w:rsidRPr="00FC7A12">
        <w:rPr>
          <w:b/>
        </w:rPr>
        <w:t>Rekonstrukcija Dvorca kralja Nikole</w:t>
      </w:r>
    </w:p>
    <w:p w:rsidR="007C0814" w:rsidRPr="00FC7A12" w:rsidRDefault="007C0814" w:rsidP="007C0814">
      <w:pPr>
        <w:jc w:val="both"/>
      </w:pPr>
      <w:r w:rsidRPr="00FC7A12">
        <w:t>Investitor: Uprava javnih radova</w:t>
      </w:r>
    </w:p>
    <w:p w:rsidR="007C0814" w:rsidRPr="00FC7A12" w:rsidRDefault="007C0814" w:rsidP="007C0814">
      <w:pPr>
        <w:jc w:val="both"/>
      </w:pPr>
      <w:r w:rsidRPr="00FC7A12">
        <w:t>Ugovorena vrijednost radova: 1.200.000,00 €</w:t>
      </w:r>
    </w:p>
    <w:p w:rsidR="007C0814" w:rsidRPr="00FC7A12" w:rsidRDefault="007C0814" w:rsidP="007C0814">
      <w:pPr>
        <w:jc w:val="both"/>
      </w:pPr>
      <w:r w:rsidRPr="00FC7A12">
        <w:t>Izvođač radova: Bom invest Cetinje</w:t>
      </w:r>
    </w:p>
    <w:p w:rsidR="007C0814" w:rsidRPr="00FC7A12" w:rsidRDefault="007C0814" w:rsidP="007C0814">
      <w:pPr>
        <w:jc w:val="both"/>
      </w:pPr>
      <w:r w:rsidRPr="00FC7A12">
        <w:t>Radovi u toku</w:t>
      </w:r>
    </w:p>
    <w:p w:rsidR="007C0814" w:rsidRPr="00FC7A12" w:rsidRDefault="007C0814" w:rsidP="007C0814">
      <w:pPr>
        <w:jc w:val="both"/>
      </w:pPr>
    </w:p>
    <w:p w:rsidR="007C0814" w:rsidRPr="00FC7A12" w:rsidRDefault="00967BE8" w:rsidP="007C0814">
      <w:pPr>
        <w:jc w:val="both"/>
        <w:rPr>
          <w:b/>
        </w:rPr>
      </w:pPr>
      <w:r w:rsidRPr="00FC7A12">
        <w:rPr>
          <w:b/>
        </w:rPr>
        <w:t>Projekat stvaranja klastera i transformacije ruralnih područja (RCTP)</w:t>
      </w:r>
    </w:p>
    <w:p w:rsidR="007C0814" w:rsidRPr="00FC7A12" w:rsidRDefault="007C0814" w:rsidP="007C0814">
      <w:pPr>
        <w:jc w:val="both"/>
        <w:rPr>
          <w:b/>
        </w:rPr>
      </w:pPr>
      <w:r w:rsidRPr="00FC7A12">
        <w:t xml:space="preserve">Investitor: </w:t>
      </w:r>
      <w:r w:rsidR="00967BE8" w:rsidRPr="00FC7A12">
        <w:t xml:space="preserve">IFAD, Vlada Crne Gore </w:t>
      </w:r>
      <w:r w:rsidRPr="00FC7A12">
        <w:t xml:space="preserve"> i Opština Nikšić</w:t>
      </w:r>
    </w:p>
    <w:p w:rsidR="007C0814" w:rsidRPr="00FC7A12" w:rsidRDefault="007C0814" w:rsidP="007C0814">
      <w:pPr>
        <w:jc w:val="both"/>
      </w:pPr>
      <w:r w:rsidRPr="00FC7A12">
        <w:t xml:space="preserve">Ugovorena vrijednost radova 731.754,43 € </w:t>
      </w:r>
    </w:p>
    <w:p w:rsidR="007C0814" w:rsidRPr="00FC7A12" w:rsidRDefault="007C0814" w:rsidP="007C0814">
      <w:r w:rsidRPr="00FC7A12">
        <w:t>Izvedeni radovi u oblasti modernizacije seoskih puteva i poboljšanja vodosnabdijevanja</w:t>
      </w:r>
    </w:p>
    <w:p w:rsidR="00E10A9A" w:rsidRPr="00FC7A12" w:rsidRDefault="00E10A9A" w:rsidP="007C0814">
      <w:pPr>
        <w:tabs>
          <w:tab w:val="left" w:pos="459"/>
          <w:tab w:val="center" w:pos="4680"/>
        </w:tabs>
        <w:rPr>
          <w:rFonts w:eastAsia="Calibri"/>
          <w:b/>
          <w:lang w:val="sr-Latn-ME"/>
        </w:rPr>
      </w:pPr>
    </w:p>
    <w:p w:rsidR="007C0814" w:rsidRPr="00FC7A12" w:rsidRDefault="007C0814" w:rsidP="007C0814">
      <w:pPr>
        <w:tabs>
          <w:tab w:val="left" w:pos="459"/>
          <w:tab w:val="center" w:pos="4680"/>
        </w:tabs>
        <w:rPr>
          <w:b/>
        </w:rPr>
      </w:pPr>
      <w:r w:rsidRPr="00FC7A12">
        <w:rPr>
          <w:b/>
        </w:rPr>
        <w:t>VODOVODI</w:t>
      </w:r>
    </w:p>
    <w:p w:rsidR="007C0814" w:rsidRPr="00FC7A12" w:rsidRDefault="007C0814" w:rsidP="007C0814">
      <w:pPr>
        <w:rPr>
          <w:b/>
        </w:rPr>
      </w:pPr>
    </w:p>
    <w:p w:rsidR="007C0814" w:rsidRPr="00FC7A12" w:rsidRDefault="007C0814" w:rsidP="007C0814">
      <w:pPr>
        <w:rPr>
          <w:b/>
        </w:rPr>
      </w:pPr>
      <w:r w:rsidRPr="00FC7A12">
        <w:rPr>
          <w:b/>
        </w:rPr>
        <w:t>Vodovod Laz</w:t>
      </w:r>
    </w:p>
    <w:p w:rsidR="007C0814" w:rsidRPr="00FC7A12" w:rsidRDefault="00967BE8" w:rsidP="007C0814">
      <w:r w:rsidRPr="00FC7A12">
        <w:t xml:space="preserve">Vrijednost radova: </w:t>
      </w:r>
      <w:r w:rsidR="007C0814" w:rsidRPr="00FC7A12">
        <w:t>225.000,00</w:t>
      </w:r>
      <w:r w:rsidRPr="00FC7A12">
        <w:t xml:space="preserve"> €</w:t>
      </w:r>
    </w:p>
    <w:p w:rsidR="007C0814" w:rsidRPr="00FC7A12" w:rsidRDefault="007C0814" w:rsidP="007C0814">
      <w:r w:rsidRPr="00FC7A12">
        <w:t>Broj domaćinstava: 50</w:t>
      </w:r>
    </w:p>
    <w:p w:rsidR="007C0814" w:rsidRPr="00FC7A12" w:rsidRDefault="007C0814" w:rsidP="007C0814">
      <w:r w:rsidRPr="00FC7A12">
        <w:t>Dužina cjevovoda: 8,2 km</w:t>
      </w:r>
    </w:p>
    <w:p w:rsidR="007C0814" w:rsidRPr="00FC7A12" w:rsidRDefault="007C0814" w:rsidP="007C0814">
      <w:r w:rsidRPr="00FC7A12">
        <w:t xml:space="preserve"> (Rezervoar V=2x20m³, crpna stanica sa rez V=10m³ i prekidna komora V=20m³)</w:t>
      </w:r>
    </w:p>
    <w:p w:rsidR="007C0814" w:rsidRPr="00FC7A12" w:rsidRDefault="007C0814" w:rsidP="007C0814"/>
    <w:p w:rsidR="007C0814" w:rsidRPr="00FC7A12" w:rsidRDefault="007C0814" w:rsidP="007C0814">
      <w:pPr>
        <w:rPr>
          <w:b/>
        </w:rPr>
      </w:pPr>
      <w:r w:rsidRPr="00FC7A12">
        <w:rPr>
          <w:b/>
        </w:rPr>
        <w:t>Vodovod  Stubički kraj (Prijespa) - primarni cjevovod</w:t>
      </w:r>
    </w:p>
    <w:p w:rsidR="007C0814" w:rsidRPr="00FC7A12" w:rsidRDefault="00967BE8" w:rsidP="007C0814">
      <w:r w:rsidRPr="00FC7A12">
        <w:t xml:space="preserve">Vrijednost radova: </w:t>
      </w:r>
      <w:r w:rsidR="007C0814" w:rsidRPr="00FC7A12">
        <w:t>155.000,00</w:t>
      </w:r>
      <w:r w:rsidRPr="00FC7A12">
        <w:t xml:space="preserve"> €</w:t>
      </w:r>
    </w:p>
    <w:p w:rsidR="007C0814" w:rsidRPr="00FC7A12" w:rsidRDefault="007C0814" w:rsidP="007C0814">
      <w:r w:rsidRPr="00FC7A12">
        <w:t>Broj domaćinstava: 20</w:t>
      </w:r>
    </w:p>
    <w:p w:rsidR="007C0814" w:rsidRPr="00FC7A12" w:rsidRDefault="007C0814" w:rsidP="007C0814">
      <w:r w:rsidRPr="00FC7A12">
        <w:t>Dužina cjevovoda: 8,7 km</w:t>
      </w:r>
    </w:p>
    <w:p w:rsidR="007C0814" w:rsidRPr="00FC7A12" w:rsidRDefault="007C0814" w:rsidP="007C0814"/>
    <w:p w:rsidR="007C0814" w:rsidRPr="00FC7A12" w:rsidRDefault="007C0814" w:rsidP="007C0814">
      <w:pPr>
        <w:rPr>
          <w:b/>
        </w:rPr>
      </w:pPr>
      <w:r w:rsidRPr="00FC7A12">
        <w:rPr>
          <w:b/>
        </w:rPr>
        <w:t>Vodovod  Stubički kraj (Prijespa) - sekundarni cjevovod</w:t>
      </w:r>
    </w:p>
    <w:p w:rsidR="007C0814" w:rsidRPr="00FC7A12" w:rsidRDefault="00967BE8" w:rsidP="007C0814">
      <w:r w:rsidRPr="00FC7A12">
        <w:t xml:space="preserve">Vrijednost radova: </w:t>
      </w:r>
      <w:r w:rsidR="007C0814" w:rsidRPr="00FC7A12">
        <w:t>35.500,00</w:t>
      </w:r>
      <w:r w:rsidRPr="00FC7A12">
        <w:t xml:space="preserve"> €</w:t>
      </w:r>
    </w:p>
    <w:p w:rsidR="007C0814" w:rsidRPr="00FC7A12" w:rsidRDefault="007C0814" w:rsidP="007C0814">
      <w:r w:rsidRPr="00FC7A12">
        <w:t>Broj domaćinstava: 12</w:t>
      </w:r>
    </w:p>
    <w:p w:rsidR="007C0814" w:rsidRPr="00FC7A12" w:rsidRDefault="007C0814" w:rsidP="007C0814">
      <w:r w:rsidRPr="00FC7A12">
        <w:t>Dužina cjevovoda: 3,2 km</w:t>
      </w:r>
    </w:p>
    <w:p w:rsidR="007C0814" w:rsidRPr="00FC7A12" w:rsidRDefault="007C0814" w:rsidP="007C0814"/>
    <w:p w:rsidR="007C0814" w:rsidRPr="00FC7A12" w:rsidRDefault="007C0814" w:rsidP="007C0814">
      <w:pPr>
        <w:rPr>
          <w:b/>
        </w:rPr>
      </w:pPr>
      <w:r w:rsidRPr="00FC7A12">
        <w:rPr>
          <w:b/>
        </w:rPr>
        <w:t>Vodovod  Lukovo-Seoca -Tačevina</w:t>
      </w:r>
    </w:p>
    <w:p w:rsidR="007C0814" w:rsidRPr="00FC7A12" w:rsidRDefault="00967BE8" w:rsidP="007C0814">
      <w:r w:rsidRPr="00FC7A12">
        <w:t xml:space="preserve">Vrijednost radova: </w:t>
      </w:r>
      <w:r w:rsidR="007C0814" w:rsidRPr="00FC7A12">
        <w:t>78.000,00</w:t>
      </w:r>
      <w:r w:rsidRPr="00FC7A12">
        <w:t xml:space="preserve"> €</w:t>
      </w:r>
    </w:p>
    <w:p w:rsidR="007C0814" w:rsidRPr="00FC7A12" w:rsidRDefault="007C0814" w:rsidP="007C0814">
      <w:r w:rsidRPr="00FC7A12">
        <w:t>Broj domaćinstava: 13</w:t>
      </w:r>
    </w:p>
    <w:p w:rsidR="007C0814" w:rsidRPr="00FC7A12" w:rsidRDefault="007C0814" w:rsidP="007C0814">
      <w:r w:rsidRPr="00FC7A12">
        <w:t>Dužina cjevovoda 2,4 km</w:t>
      </w:r>
    </w:p>
    <w:p w:rsidR="007C0814" w:rsidRPr="00FC7A12" w:rsidRDefault="007C0814" w:rsidP="007C0814">
      <w:pPr>
        <w:rPr>
          <w:b/>
        </w:rPr>
      </w:pPr>
    </w:p>
    <w:p w:rsidR="007C0814" w:rsidRPr="00FC7A12" w:rsidRDefault="007C0814" w:rsidP="007C0814">
      <w:r w:rsidRPr="00FC7A12">
        <w:rPr>
          <w:b/>
        </w:rPr>
        <w:t xml:space="preserve"> Vodovod  Poklonci  - Obezbeđenje dodatnih količina za grad</w:t>
      </w:r>
    </w:p>
    <w:p w:rsidR="007C0814" w:rsidRPr="00FC7A12" w:rsidRDefault="007C0814" w:rsidP="007C0814">
      <w:r w:rsidRPr="00FC7A12">
        <w:t>Vrijednost radova: 59.700,00</w:t>
      </w:r>
      <w:r w:rsidR="00967BE8" w:rsidRPr="00FC7A12">
        <w:t xml:space="preserve"> €</w:t>
      </w:r>
    </w:p>
    <w:p w:rsidR="007C0814" w:rsidRPr="00FC7A12" w:rsidRDefault="007C0814" w:rsidP="007C0814">
      <w:r w:rsidRPr="00FC7A12">
        <w:t>Dužina cjevovoda: 126 m</w:t>
      </w:r>
    </w:p>
    <w:p w:rsidR="007C0814" w:rsidRPr="00FC7A12" w:rsidRDefault="007C0814" w:rsidP="007C0814">
      <w:r w:rsidRPr="00FC7A12">
        <w:t>Dva objekta za bunarsko postrojenje</w:t>
      </w:r>
    </w:p>
    <w:p w:rsidR="007C0814" w:rsidRPr="00FC7A12" w:rsidRDefault="007C0814" w:rsidP="007C0814"/>
    <w:p w:rsidR="007C0814" w:rsidRPr="00FC7A12" w:rsidRDefault="007C0814" w:rsidP="007C0814">
      <w:pPr>
        <w:rPr>
          <w:b/>
        </w:rPr>
      </w:pPr>
      <w:r w:rsidRPr="00FC7A12">
        <w:rPr>
          <w:b/>
        </w:rPr>
        <w:t>Vodovod  Granični prelaz Deleuša</w:t>
      </w:r>
    </w:p>
    <w:p w:rsidR="007C0814" w:rsidRPr="00FC7A12" w:rsidRDefault="00967BE8" w:rsidP="007C0814">
      <w:r w:rsidRPr="00FC7A12">
        <w:t xml:space="preserve">Vrijednost radova: </w:t>
      </w:r>
      <w:r w:rsidR="007C0814" w:rsidRPr="00FC7A12">
        <w:t xml:space="preserve"> 38.700,00</w:t>
      </w:r>
      <w:r w:rsidRPr="00FC7A12">
        <w:t xml:space="preserve"> €</w:t>
      </w:r>
    </w:p>
    <w:p w:rsidR="007C0814" w:rsidRPr="00FC7A12" w:rsidRDefault="007C0814" w:rsidP="007C0814">
      <w:r w:rsidRPr="00FC7A12">
        <w:t>Broj domaćinstava: 6</w:t>
      </w:r>
    </w:p>
    <w:p w:rsidR="007C0814" w:rsidRPr="00FC7A12" w:rsidRDefault="007C0814" w:rsidP="007C0814">
      <w:r w:rsidRPr="00FC7A12">
        <w:t>Dužina cjevovoda: 2,4 km</w:t>
      </w:r>
    </w:p>
    <w:p w:rsidR="007C0814" w:rsidRPr="00FC7A12" w:rsidRDefault="007C0814" w:rsidP="007C0814"/>
    <w:p w:rsidR="007C0814" w:rsidRPr="00FC7A12" w:rsidRDefault="007C0814" w:rsidP="007C0814">
      <w:pPr>
        <w:rPr>
          <w:b/>
        </w:rPr>
      </w:pPr>
      <w:r w:rsidRPr="00FC7A12">
        <w:rPr>
          <w:b/>
        </w:rPr>
        <w:t>Izgradnja vodovoda Pilatovci</w:t>
      </w:r>
    </w:p>
    <w:p w:rsidR="007C0814" w:rsidRPr="00FC7A12" w:rsidRDefault="007C0814" w:rsidP="007C0814">
      <w:pPr>
        <w:jc w:val="both"/>
      </w:pPr>
      <w:r w:rsidRPr="00FC7A12">
        <w:t>Vrijednost radova: 386.214,28</w:t>
      </w:r>
      <w:r w:rsidR="00967BE8" w:rsidRPr="00FC7A12">
        <w:t xml:space="preserve"> €</w:t>
      </w:r>
    </w:p>
    <w:p w:rsidR="007C0814" w:rsidRPr="00FC7A12" w:rsidRDefault="007C0814" w:rsidP="007C0814">
      <w:pPr>
        <w:jc w:val="both"/>
      </w:pPr>
    </w:p>
    <w:p w:rsidR="007C0814" w:rsidRPr="00FC7A12" w:rsidRDefault="007C0814" w:rsidP="007C0814">
      <w:pPr>
        <w:tabs>
          <w:tab w:val="left" w:pos="3030"/>
        </w:tabs>
        <w:jc w:val="both"/>
      </w:pPr>
    </w:p>
    <w:p w:rsidR="007C0814" w:rsidRPr="00FC7A12" w:rsidRDefault="007C0814" w:rsidP="007C0814">
      <w:pPr>
        <w:jc w:val="both"/>
        <w:rPr>
          <w:b/>
        </w:rPr>
      </w:pPr>
      <w:r w:rsidRPr="00FC7A12">
        <w:rPr>
          <w:b/>
        </w:rPr>
        <w:t xml:space="preserve">2. Aktivnosti na pripremi i apliciranju sa odgovarajućim projektima kod domaćih i međunarodnih institucija radi obezbjeđenja sredstava za njihovu realizaciju                                      </w:t>
      </w:r>
    </w:p>
    <w:p w:rsidR="007C0814" w:rsidRPr="00FC7A12" w:rsidRDefault="007C0814" w:rsidP="007C0814">
      <w:pPr>
        <w:jc w:val="both"/>
        <w:rPr>
          <w:b/>
        </w:rPr>
      </w:pPr>
    </w:p>
    <w:p w:rsidR="007C0814" w:rsidRPr="00FC7A12" w:rsidRDefault="007C0814" w:rsidP="007C0814">
      <w:pPr>
        <w:pStyle w:val="ListParagraph"/>
        <w:ind w:left="0" w:firstLine="720"/>
        <w:jc w:val="both"/>
        <w:rPr>
          <w:b/>
          <w:i/>
        </w:rPr>
      </w:pPr>
    </w:p>
    <w:p w:rsidR="007C0814" w:rsidRPr="00FC7A12" w:rsidRDefault="007C0814" w:rsidP="007C0814">
      <w:pPr>
        <w:pStyle w:val="ListParagraph"/>
        <w:ind w:left="0" w:firstLine="720"/>
        <w:jc w:val="both"/>
      </w:pPr>
      <w:r w:rsidRPr="00FC7A12">
        <w:rPr>
          <w:b/>
          <w:i/>
        </w:rPr>
        <w:t>“ReLOaD projekat”</w:t>
      </w:r>
    </w:p>
    <w:p w:rsidR="007C0814" w:rsidRPr="00FC7A12" w:rsidRDefault="007C0814" w:rsidP="007C0814">
      <w:pPr>
        <w:pStyle w:val="ListParagraph"/>
        <w:ind w:left="0" w:firstLine="720"/>
        <w:jc w:val="both"/>
        <w:rPr>
          <w:b/>
          <w:i/>
        </w:rPr>
      </w:pPr>
    </w:p>
    <w:p w:rsidR="007C0814" w:rsidRPr="00FC7A12" w:rsidRDefault="007C0814" w:rsidP="007C0814">
      <w:pPr>
        <w:spacing w:after="160" w:line="259" w:lineRule="auto"/>
        <w:ind w:left="360"/>
        <w:jc w:val="both"/>
        <w:rPr>
          <w:lang w:val="bs-Latn-BA"/>
        </w:rPr>
      </w:pPr>
      <w:r w:rsidRPr="00FC7A12">
        <w:rPr>
          <w:lang w:val="bs-Latn-BA"/>
        </w:rPr>
        <w:t xml:space="preserve">Regionalni program lokalne demokratije na Zapadnom Balkanu (ReLOaD) sprovodi  Program Ujedinjenih nacija za razvoj (UNDP) u šest zemalja regiona i to: Albaniji, Bosni i Hercegovini (BiH), bivšoj jugoslovenskoj republici Makedoniji, Crnoj Gori, Kosovu i Srbiji. Projekat je sa realizacijom počeo 1. februara 2017. godine i tokom tri godine realizacije cilj projekta je jačanje partnerstva između jedinica lokalne samouprave (JLS) i civilnog društva u regiji Zapadnog Balkana kroz izgradnju i širenje transparentnog pristupa finansiranja nevladinih organizacija (NVO) iz budžeta JLS, a u cilju rješavanja potreba u zajednici. Ukupna vrijednost ReLOaD projekta je 10 miliona eura, a finansira ga Evropska unija (EU) iz Instrumenta za pretpristupnu pomoć, tj. Programa podrške za civilno društvo u iznosu od 8,5 miliona eura, dok </w:t>
      </w:r>
      <w:r w:rsidRPr="00FC7A12">
        <w:rPr>
          <w:lang w:val="bs-Latn-BA"/>
        </w:rPr>
        <w:lastRenderedPageBreak/>
        <w:t>će ostatak sufinansirati UNDP kancelarije koje djeluju u zemljama Zapadnog Balkana i partnerske JLS.</w:t>
      </w:r>
    </w:p>
    <w:p w:rsidR="007C0814" w:rsidRPr="00FC7A12" w:rsidRDefault="007C0814" w:rsidP="007C0814">
      <w:pPr>
        <w:pStyle w:val="ListParagraph"/>
        <w:spacing w:after="160" w:line="259" w:lineRule="auto"/>
        <w:ind w:left="0"/>
        <w:contextualSpacing/>
        <w:jc w:val="both"/>
        <w:rPr>
          <w:lang w:val="bs-Latn-BA"/>
        </w:rPr>
      </w:pPr>
      <w:r w:rsidRPr="00FC7A12">
        <w:rPr>
          <w:lang w:val="bs-Latn-BA"/>
        </w:rPr>
        <w:t>U okviru dijela ReLOaD projekta koji se sprovodi u Crnoj Gori, pet odabranih partnerskih jedinica lokalne samouprave (</w:t>
      </w:r>
      <w:r w:rsidRPr="00FC7A12">
        <w:rPr>
          <w:b/>
          <w:bCs/>
          <w:i/>
          <w:iCs/>
          <w:lang w:val="bs-Latn-BA"/>
        </w:rPr>
        <w:t>Tivat, Nikšić, Kotor, Pljevlja i Glavni grad Podgorica)</w:t>
      </w:r>
      <w:r w:rsidRPr="00FC7A12">
        <w:rPr>
          <w:lang w:val="bs-Latn-BA"/>
        </w:rPr>
        <w:t xml:space="preserve">  su dobile  grant od po 100.000</w:t>
      </w:r>
      <w:r w:rsidR="004A2D76">
        <w:rPr>
          <w:lang w:val="bs-Latn-BA"/>
        </w:rPr>
        <w:t xml:space="preserve">,00 </w:t>
      </w:r>
      <w:r w:rsidRPr="00FC7A12">
        <w:rPr>
          <w:lang w:val="bs-Latn-BA"/>
        </w:rPr>
        <w:t xml:space="preserve">€ za NVO </w:t>
      </w:r>
      <w:r w:rsidR="004A2D76">
        <w:rPr>
          <w:lang w:val="bs-Latn-BA"/>
        </w:rPr>
        <w:t>iz sredstava EU (po 50.000 €</w:t>
      </w:r>
      <w:r w:rsidRPr="00FC7A12">
        <w:rPr>
          <w:lang w:val="bs-Latn-BA"/>
        </w:rPr>
        <w:t xml:space="preserve"> u 2018. i 2019. godini) a sufinansiranje opština je 20.000</w:t>
      </w:r>
      <w:r w:rsidR="004A2D76">
        <w:rPr>
          <w:lang w:val="bs-Latn-BA"/>
        </w:rPr>
        <w:t xml:space="preserve">,00 </w:t>
      </w:r>
      <w:r w:rsidRPr="00FC7A12">
        <w:rPr>
          <w:lang w:val="bs-Latn-BA"/>
        </w:rPr>
        <w:t>€ (po 10.000</w:t>
      </w:r>
      <w:r w:rsidR="004A2D76">
        <w:rPr>
          <w:lang w:val="bs-Latn-BA"/>
        </w:rPr>
        <w:t xml:space="preserve">,00 </w:t>
      </w:r>
      <w:r w:rsidRPr="00FC7A12">
        <w:rPr>
          <w:lang w:val="bs-Latn-BA"/>
        </w:rPr>
        <w:t xml:space="preserve">€ za 2018 i 2019 godinu). </w:t>
      </w:r>
    </w:p>
    <w:p w:rsidR="007C0814" w:rsidRPr="00FC7A12" w:rsidRDefault="007C0814" w:rsidP="007C0814">
      <w:pPr>
        <w:pStyle w:val="ListParagraph"/>
        <w:spacing w:after="160" w:line="259" w:lineRule="auto"/>
        <w:ind w:left="0"/>
        <w:contextualSpacing/>
        <w:jc w:val="both"/>
        <w:rPr>
          <w:lang w:val="bs-Latn-BA"/>
        </w:rPr>
      </w:pPr>
      <w:r w:rsidRPr="00FC7A12">
        <w:rPr>
          <w:lang w:val="bs-Latn-BA"/>
        </w:rPr>
        <w:t>Tako je i  u martu 2019</w:t>
      </w:r>
      <w:r w:rsidR="004A2D76">
        <w:rPr>
          <w:lang w:val="bs-Latn-BA"/>
        </w:rPr>
        <w:t>.</w:t>
      </w:r>
      <w:r w:rsidRPr="00FC7A12">
        <w:rPr>
          <w:lang w:val="bs-Latn-BA"/>
        </w:rPr>
        <w:t xml:space="preserve"> godine raspisan Konkurs za predaju prijedloga projekata u sklopu Regionalnog programa lokalne demokratije na zapadnom Balkanu (ReLOaD). Nakon evaluacije projekata odabrano je 5 (pet) najboljih a to su sljedeće nevladine organizacije: „Udruženje za pomoć licima ometenim u psihofizičkom razvoju“ „Društvo mladih ekologa“,“Sinteza“, „Društvo prijatelja biblioteke Njegoš“ i „Biznis centar“.</w:t>
      </w:r>
    </w:p>
    <w:p w:rsidR="007C0814" w:rsidRPr="00FC7A12" w:rsidRDefault="007C0814" w:rsidP="007C0814">
      <w:pPr>
        <w:pStyle w:val="ListParagraph"/>
        <w:spacing w:after="160" w:line="259" w:lineRule="auto"/>
        <w:ind w:left="0"/>
        <w:contextualSpacing/>
        <w:jc w:val="both"/>
        <w:rPr>
          <w:lang w:val="bs-Latn-BA"/>
        </w:rPr>
      </w:pPr>
      <w:r w:rsidRPr="00FC7A12">
        <w:rPr>
          <w:lang w:val="bs-Latn-BA"/>
        </w:rPr>
        <w:t>Tokom 2020</w:t>
      </w:r>
      <w:r w:rsidR="004A2D76">
        <w:rPr>
          <w:lang w:val="bs-Latn-BA"/>
        </w:rPr>
        <w:t>.</w:t>
      </w:r>
      <w:r w:rsidRPr="00FC7A12">
        <w:rPr>
          <w:lang w:val="bs-Latn-BA"/>
        </w:rPr>
        <w:t xml:space="preserve"> nastavljena je implementacija odabranih  projekata, a počelo se i sa pripremama za II fazu ReLOaD projekta.</w:t>
      </w:r>
    </w:p>
    <w:p w:rsidR="007C0814" w:rsidRPr="00FC7A12" w:rsidRDefault="00967BE8" w:rsidP="007C0814">
      <w:pPr>
        <w:rPr>
          <w:b/>
          <w:color w:val="000000"/>
          <w:shd w:val="clear" w:color="auto" w:fill="FFFFFF"/>
        </w:rPr>
      </w:pPr>
      <w:r w:rsidRPr="00FC7A12">
        <w:rPr>
          <w:b/>
          <w:color w:val="000000"/>
          <w:shd w:val="clear" w:color="auto" w:fill="FFFFFF"/>
        </w:rPr>
        <w:t xml:space="preserve">Projekat: </w:t>
      </w:r>
      <w:r w:rsidR="007C0814" w:rsidRPr="00FC7A12">
        <w:rPr>
          <w:b/>
          <w:color w:val="000000"/>
          <w:shd w:val="clear" w:color="auto" w:fill="FFFFFF"/>
        </w:rPr>
        <w:t>Flood and landslide assistance and training (FLAT)</w:t>
      </w:r>
      <w:r w:rsidRPr="00FC7A12">
        <w:rPr>
          <w:b/>
          <w:color w:val="000000"/>
          <w:shd w:val="clear" w:color="auto" w:fill="FFFFFF"/>
        </w:rPr>
        <w:t xml:space="preserve"> </w:t>
      </w:r>
      <w:r w:rsidR="007C0814" w:rsidRPr="00FC7A12">
        <w:rPr>
          <w:b/>
          <w:color w:val="000000"/>
          <w:shd w:val="clear" w:color="auto" w:fill="FFFFFF"/>
        </w:rPr>
        <w:t>(Pomoć i obuka u poplavama i klizištima)</w:t>
      </w:r>
    </w:p>
    <w:p w:rsidR="007C0814" w:rsidRPr="00FC7A12" w:rsidRDefault="007C0814" w:rsidP="007C0814">
      <w:pPr>
        <w:rPr>
          <w:b/>
        </w:rPr>
      </w:pPr>
    </w:p>
    <w:p w:rsidR="007C0814" w:rsidRPr="00FC7A12" w:rsidRDefault="007C0814" w:rsidP="007C0814">
      <w:pPr>
        <w:shd w:val="clear" w:color="auto" w:fill="FFFFFF"/>
        <w:rPr>
          <w:color w:val="000000"/>
        </w:rPr>
      </w:pPr>
      <w:r w:rsidRPr="00FC7A12">
        <w:rPr>
          <w:color w:val="000000"/>
        </w:rPr>
        <w:t>Progra</w:t>
      </w:r>
      <w:r w:rsidR="00967BE8" w:rsidRPr="00FC7A12">
        <w:rPr>
          <w:color w:val="000000"/>
        </w:rPr>
        <w:t>m:</w:t>
      </w:r>
      <w:r w:rsidRPr="00FC7A12">
        <w:rPr>
          <w:color w:val="000000"/>
        </w:rPr>
        <w:t xml:space="preserve"> INTEREG IPA CBC Italija-Albanija-Crna Gora</w:t>
      </w:r>
    </w:p>
    <w:p w:rsidR="007C0814" w:rsidRPr="00FC7A12" w:rsidRDefault="00967BE8" w:rsidP="007C0814">
      <w:pPr>
        <w:shd w:val="clear" w:color="auto" w:fill="FFFFFF"/>
        <w:rPr>
          <w:color w:val="000000"/>
        </w:rPr>
      </w:pPr>
      <w:r w:rsidRPr="00FC7A12">
        <w:rPr>
          <w:color w:val="000000"/>
        </w:rPr>
        <w:t xml:space="preserve">Partneri: </w:t>
      </w:r>
      <w:r w:rsidR="007C0814" w:rsidRPr="00FC7A12">
        <w:rPr>
          <w:color w:val="000000"/>
        </w:rPr>
        <w:t>vodeci Opstina Dalilovgrad, Brindizi iz Italije, Zajednica opstina Albani</w:t>
      </w:r>
      <w:r w:rsidRPr="00FC7A12">
        <w:rPr>
          <w:color w:val="000000"/>
        </w:rPr>
        <w:t>je, Opstina Niksic i Gorska služ</w:t>
      </w:r>
      <w:r w:rsidR="007C0814" w:rsidRPr="00FC7A12">
        <w:rPr>
          <w:color w:val="000000"/>
        </w:rPr>
        <w:t>ba spasavanja Crne Gore</w:t>
      </w:r>
    </w:p>
    <w:p w:rsidR="007C0814" w:rsidRPr="00FC7A12" w:rsidRDefault="00967BE8" w:rsidP="007C0814">
      <w:pPr>
        <w:shd w:val="clear" w:color="auto" w:fill="FFFFFF"/>
        <w:rPr>
          <w:color w:val="000000"/>
        </w:rPr>
      </w:pPr>
      <w:r w:rsidRPr="00FC7A12">
        <w:rPr>
          <w:color w:val="000000"/>
        </w:rPr>
        <w:t xml:space="preserve">Ukupan budzet: </w:t>
      </w:r>
      <w:r w:rsidR="007C0814" w:rsidRPr="00FC7A12">
        <w:rPr>
          <w:color w:val="000000"/>
        </w:rPr>
        <w:t>959.073,71 euro</w:t>
      </w:r>
    </w:p>
    <w:p w:rsidR="007C0814" w:rsidRPr="00FC7A12" w:rsidRDefault="00967BE8" w:rsidP="007C0814">
      <w:pPr>
        <w:shd w:val="clear" w:color="auto" w:fill="FFFFFF"/>
        <w:rPr>
          <w:color w:val="000000"/>
        </w:rPr>
      </w:pPr>
      <w:r w:rsidRPr="00FC7A12">
        <w:rPr>
          <w:color w:val="000000"/>
        </w:rPr>
        <w:t xml:space="preserve">Budzet za Niksic: </w:t>
      </w:r>
      <w:r w:rsidR="007C0814" w:rsidRPr="00FC7A12">
        <w:rPr>
          <w:color w:val="000000"/>
        </w:rPr>
        <w:t>98.737,98 eura</w:t>
      </w:r>
    </w:p>
    <w:p w:rsidR="007C0814" w:rsidRPr="00FC7A12" w:rsidRDefault="007C0814" w:rsidP="007C0814">
      <w:pPr>
        <w:shd w:val="clear" w:color="auto" w:fill="FFFFFF"/>
        <w:rPr>
          <w:color w:val="000000"/>
        </w:rPr>
      </w:pPr>
      <w:r w:rsidRPr="00FC7A12">
        <w:rPr>
          <w:color w:val="000000"/>
        </w:rPr>
        <w:t>Trajanje</w:t>
      </w:r>
      <w:r w:rsidR="00967BE8" w:rsidRPr="00FC7A12">
        <w:rPr>
          <w:color w:val="000000"/>
        </w:rPr>
        <w:t xml:space="preserve"> projekta: 15.03.2018.-14.12</w:t>
      </w:r>
      <w:r w:rsidRPr="00FC7A12">
        <w:rPr>
          <w:color w:val="000000"/>
        </w:rPr>
        <w:t>.2020.</w:t>
      </w:r>
      <w:r w:rsidR="00967BE8" w:rsidRPr="00FC7A12">
        <w:rPr>
          <w:color w:val="000000"/>
        </w:rPr>
        <w:t xml:space="preserve"> godine</w:t>
      </w:r>
    </w:p>
    <w:p w:rsidR="007C0814" w:rsidRPr="00FC7A12" w:rsidRDefault="00967BE8" w:rsidP="00967BE8">
      <w:pPr>
        <w:shd w:val="clear" w:color="auto" w:fill="FFFFFF"/>
        <w:jc w:val="both"/>
        <w:rPr>
          <w:color w:val="000000"/>
        </w:rPr>
      </w:pPr>
      <w:r w:rsidRPr="00FC7A12">
        <w:rPr>
          <w:color w:val="000000"/>
        </w:rPr>
        <w:t xml:space="preserve">Glavne aktivnosti: </w:t>
      </w:r>
      <w:r w:rsidR="007C0814" w:rsidRPr="00FC7A12">
        <w:rPr>
          <w:color w:val="000000"/>
        </w:rPr>
        <w:t>izgradnja regionalnog resursnog centra za obuku spasilaca  u Danilovgradu, obuke spasilaca, izrada dokumenata (program, plan i preporuke) iz oblasti poplava i klizista, nabavka opreme za Sluzbu zastite i spasavanja Opstine Niksic, kao i nabavka opreme za druge partnere u projektu</w:t>
      </w:r>
      <w:r w:rsidRPr="00FC7A12">
        <w:rPr>
          <w:color w:val="000000"/>
        </w:rPr>
        <w:t>.</w:t>
      </w:r>
    </w:p>
    <w:p w:rsidR="007C0814" w:rsidRPr="00FC7A12" w:rsidRDefault="007C0814" w:rsidP="007C0814">
      <w:pPr>
        <w:shd w:val="clear" w:color="auto" w:fill="FFFFFF"/>
        <w:rPr>
          <w:color w:val="000000"/>
        </w:rPr>
      </w:pPr>
    </w:p>
    <w:p w:rsidR="00E35137" w:rsidRPr="00FC7A12" w:rsidRDefault="00967BE8" w:rsidP="00E35137">
      <w:pPr>
        <w:jc w:val="both"/>
        <w:rPr>
          <w:b/>
          <w:color w:val="000000" w:themeColor="text1"/>
        </w:rPr>
      </w:pPr>
      <w:r w:rsidRPr="00FC7A12">
        <w:rPr>
          <w:b/>
          <w:color w:val="000000" w:themeColor="text1"/>
        </w:rPr>
        <w:t xml:space="preserve">“VII </w:t>
      </w:r>
      <w:r w:rsidR="00E35137" w:rsidRPr="00FC7A12">
        <w:rPr>
          <w:b/>
          <w:color w:val="000000" w:themeColor="text1"/>
        </w:rPr>
        <w:t>Regionalni Novogodišnji sajam lokalnih proizvoda”</w:t>
      </w:r>
    </w:p>
    <w:p w:rsidR="00E35137" w:rsidRPr="00FC7A12" w:rsidRDefault="00E35137" w:rsidP="00E35137">
      <w:pPr>
        <w:jc w:val="both"/>
        <w:rPr>
          <w:b/>
          <w:color w:val="000000" w:themeColor="text1"/>
        </w:rPr>
      </w:pPr>
    </w:p>
    <w:p w:rsidR="00E35137" w:rsidRPr="00FC7A12" w:rsidRDefault="00967BE8" w:rsidP="00E35137">
      <w:pPr>
        <w:tabs>
          <w:tab w:val="left" w:pos="450"/>
          <w:tab w:val="left" w:pos="720"/>
          <w:tab w:val="left" w:pos="1080"/>
          <w:tab w:val="left" w:pos="5550"/>
        </w:tabs>
        <w:jc w:val="both"/>
        <w:rPr>
          <w:color w:val="000000" w:themeColor="text1"/>
        </w:rPr>
      </w:pPr>
      <w:r w:rsidRPr="00FC7A12">
        <w:rPr>
          <w:color w:val="000000" w:themeColor="text1"/>
        </w:rPr>
        <w:t xml:space="preserve">Zbog pandemije virusa COVID 19, </w:t>
      </w:r>
      <w:r w:rsidR="00E35137" w:rsidRPr="00FC7A12">
        <w:rPr>
          <w:color w:val="000000" w:themeColor="text1"/>
        </w:rPr>
        <w:t xml:space="preserve">Opština Nikšić </w:t>
      </w:r>
      <w:r w:rsidR="00E96F0D" w:rsidRPr="00FC7A12">
        <w:rPr>
          <w:color w:val="000000" w:themeColor="text1"/>
        </w:rPr>
        <w:t xml:space="preserve">je </w:t>
      </w:r>
      <w:r w:rsidR="00E35137" w:rsidRPr="00FC7A12">
        <w:rPr>
          <w:color w:val="000000" w:themeColor="text1"/>
        </w:rPr>
        <w:t>u saradnji sa IPC</w:t>
      </w:r>
      <w:r w:rsidR="00E96F0D" w:rsidRPr="00FC7A12">
        <w:rPr>
          <w:color w:val="000000" w:themeColor="text1"/>
        </w:rPr>
        <w:t xml:space="preserve"> ”Tehnopolis” u</w:t>
      </w:r>
      <w:r w:rsidRPr="00FC7A12">
        <w:rPr>
          <w:color w:val="000000" w:themeColor="text1"/>
        </w:rPr>
        <w:t xml:space="preserve">  decembru 2020</w:t>
      </w:r>
      <w:r w:rsidR="00E35137" w:rsidRPr="00FC7A12">
        <w:rPr>
          <w:color w:val="000000" w:themeColor="text1"/>
        </w:rPr>
        <w:t xml:space="preserve">. godine organizovala </w:t>
      </w:r>
      <w:r w:rsidRPr="00FC7A12">
        <w:rPr>
          <w:color w:val="000000" w:themeColor="text1"/>
        </w:rPr>
        <w:t xml:space="preserve">online VII </w:t>
      </w:r>
      <w:r w:rsidR="00E35137" w:rsidRPr="00FC7A12">
        <w:rPr>
          <w:color w:val="000000" w:themeColor="text1"/>
        </w:rPr>
        <w:t xml:space="preserve">  Novogodišnji sajam lokalnih proizvoda.</w:t>
      </w:r>
    </w:p>
    <w:p w:rsidR="001E0992" w:rsidRPr="00FC7A12" w:rsidRDefault="001E0992" w:rsidP="0052537B">
      <w:pPr>
        <w:pStyle w:val="Heading2"/>
        <w:rPr>
          <w:rFonts w:ascii="Times New Roman" w:hAnsi="Times New Roman" w:cs="Times New Roman"/>
          <w:color w:val="0070C0"/>
          <w:sz w:val="24"/>
          <w:szCs w:val="24"/>
        </w:rPr>
      </w:pPr>
      <w:bookmarkStart w:id="5" w:name="_Toc390346523"/>
      <w:r w:rsidRPr="00FC7A12">
        <w:rPr>
          <w:rFonts w:ascii="Times New Roman" w:hAnsi="Times New Roman" w:cs="Times New Roman"/>
          <w:color w:val="0070C0"/>
          <w:sz w:val="24"/>
          <w:szCs w:val="24"/>
        </w:rPr>
        <w:t>LOKALNA UPRAVA-ORGANIZACIJA, FUNKCIONISANJE I NADZOR</w:t>
      </w:r>
      <w:bookmarkEnd w:id="5"/>
    </w:p>
    <w:p w:rsidR="00FC7A12" w:rsidRPr="00FC7A12" w:rsidRDefault="00FC7A12" w:rsidP="00FC7A12"/>
    <w:p w:rsidR="00FC7A12" w:rsidRPr="00FC7A12" w:rsidRDefault="00FC7A12" w:rsidP="00FC7A12">
      <w:pPr>
        <w:ind w:firstLine="708"/>
      </w:pPr>
      <w:r w:rsidRPr="00FC7A12">
        <w:t>Na sjednici Skupštine opštine Nikšić, održanoj 20.11.2020. godine za predsjednika Opštine jednoglasno je izabran mr Milutin Simović, nakon što je prethodni predsjednik Opštine, Veselin Grbović stekao pravo za odlazak u penziju.</w:t>
      </w:r>
    </w:p>
    <w:p w:rsidR="001E0992" w:rsidRPr="00FC7A12" w:rsidRDefault="00E34D60" w:rsidP="00E34D60">
      <w:pPr>
        <w:jc w:val="both"/>
      </w:pPr>
      <w:r w:rsidRPr="00FC7A12">
        <w:t xml:space="preserve"> </w:t>
      </w:r>
      <w:r w:rsidRPr="00FC7A12">
        <w:tab/>
        <w:t xml:space="preserve">  </w:t>
      </w:r>
      <w:r w:rsidR="001E0992" w:rsidRPr="00FC7A12">
        <w:t>U skladu sa zakonskim propisima predsjednik Opštine vrši nadzor nad radom organa uprave, us</w:t>
      </w:r>
      <w:r w:rsidR="006805F9" w:rsidRPr="00FC7A12">
        <w:t>mjerava i usklađ</w:t>
      </w:r>
      <w:r w:rsidR="000A7CAE" w:rsidRPr="00FC7A12">
        <w:t>uje njihov rad</w:t>
      </w:r>
      <w:r w:rsidR="001E0992" w:rsidRPr="00FC7A12">
        <w:t>, kao i rad javnih službi i agencija čiji je osnivač lokalna uprava, a radi efikasnijeg ostvarivanja njihovih funkcija i kvalitetnijeg  pružanja javnih usluga</w:t>
      </w:r>
      <w:r w:rsidR="0015524C" w:rsidRPr="00FC7A12">
        <w:t>.</w:t>
      </w:r>
    </w:p>
    <w:p w:rsidR="001E0992" w:rsidRPr="00FC7A12" w:rsidRDefault="001E0992" w:rsidP="00E34D60">
      <w:pPr>
        <w:ind w:right="-288" w:firstLine="708"/>
        <w:jc w:val="both"/>
      </w:pPr>
      <w:r w:rsidRPr="00FC7A12">
        <w:t>Otvaranje procesa pristupanja Crne Gore EU nametnuli su nužnost harmonizacije nacionalnog zakonodavstva sa zakonodavstvom članica EU (komunitarnim pravom). Polazeći od činjenice, da je lokalna samouprava kao politička institucija dio jednostavnog sistema vlasti i državnog uređenja, donošenje novih zakonskih propisa stvara obavezu za jedinice lokalne samouprave da svoju regulativu usklade sa centra</w:t>
      </w:r>
      <w:r w:rsidR="00215393" w:rsidRPr="00FC7A12">
        <w:t xml:space="preserve">lnim zakonodavstvom. Usvojena </w:t>
      </w:r>
      <w:r w:rsidRPr="00FC7A12">
        <w:t xml:space="preserve"> Strategija reforme javne uprave u Crnoj </w:t>
      </w:r>
      <w:r w:rsidRPr="00FC7A12">
        <w:lastRenderedPageBreak/>
        <w:t>Gori</w:t>
      </w:r>
      <w:r w:rsidR="007F72C5" w:rsidRPr="00FC7A12">
        <w:t xml:space="preserve"> za period 2016-2020.</w:t>
      </w:r>
      <w:r w:rsidRPr="00FC7A12">
        <w:t>,  predstavlja sveobuhvatni dokument čiji je krajnji cilj stvaranje efikasne,  savremene javne uprave u Crnoj Gori.</w:t>
      </w:r>
      <w:r w:rsidR="00101B95" w:rsidRPr="00FC7A12">
        <w:t xml:space="preserve"> </w:t>
      </w:r>
      <w:r w:rsidR="008A05B9" w:rsidRPr="00FC7A12">
        <w:rPr>
          <w:color w:val="000000" w:themeColor="text1"/>
        </w:rPr>
        <w:t>Ciljevi definisani S</w:t>
      </w:r>
      <w:r w:rsidR="0009303D" w:rsidRPr="00FC7A12">
        <w:rPr>
          <w:color w:val="000000" w:themeColor="text1"/>
        </w:rPr>
        <w:t>trategijom</w:t>
      </w:r>
      <w:r w:rsidR="00215393" w:rsidRPr="00FC7A12">
        <w:rPr>
          <w:color w:val="000000" w:themeColor="text1"/>
        </w:rPr>
        <w:t>,</w:t>
      </w:r>
      <w:r w:rsidR="0009303D" w:rsidRPr="00FC7A12">
        <w:rPr>
          <w:color w:val="000000" w:themeColor="text1"/>
        </w:rPr>
        <w:t xml:space="preserve"> a koji se odnose na lokalnu upravu su prije svega: viši nivo funkcionalne i fiskalne decentralizacije uz prilagođavnje finansijskih i materijalnih resursa lokalnih samouprava poslovima koje obavljaju, jačanje zakon</w:t>
      </w:r>
      <w:r w:rsidR="008A05B9" w:rsidRPr="00FC7A12">
        <w:rPr>
          <w:color w:val="000000" w:themeColor="text1"/>
        </w:rPr>
        <w:t>i</w:t>
      </w:r>
      <w:r w:rsidR="0009303D" w:rsidRPr="00FC7A12">
        <w:rPr>
          <w:color w:val="000000" w:themeColor="text1"/>
        </w:rPr>
        <w:t>tosti rada organa lokalne uprave, omogućav</w:t>
      </w:r>
      <w:r w:rsidR="000A7CAE" w:rsidRPr="00FC7A12">
        <w:rPr>
          <w:color w:val="000000" w:themeColor="text1"/>
        </w:rPr>
        <w:t>a</w:t>
      </w:r>
      <w:r w:rsidR="0009303D" w:rsidRPr="00FC7A12">
        <w:rPr>
          <w:color w:val="000000" w:themeColor="text1"/>
        </w:rPr>
        <w:t>nje ravnomjernog ekonomskog razvoja,</w:t>
      </w:r>
      <w:r w:rsidR="008A05B9" w:rsidRPr="00FC7A12">
        <w:rPr>
          <w:color w:val="000000" w:themeColor="text1"/>
        </w:rPr>
        <w:t xml:space="preserve"> uspostvaljen kvalitetan sistem</w:t>
      </w:r>
      <w:r w:rsidR="0009303D" w:rsidRPr="00FC7A12">
        <w:rPr>
          <w:color w:val="000000" w:themeColor="text1"/>
        </w:rPr>
        <w:t xml:space="preserve"> razvoja ljudskih resursa i vođenja kadrovske politike</w:t>
      </w:r>
      <w:r w:rsidR="008A05B9" w:rsidRPr="00FC7A12">
        <w:rPr>
          <w:color w:val="000000" w:themeColor="text1"/>
        </w:rPr>
        <w:t>, transparentan rad organa jedinica lokalne samouprave zasnovan na etičko</w:t>
      </w:r>
      <w:r w:rsidR="000A7CAE" w:rsidRPr="00FC7A12">
        <w:rPr>
          <w:color w:val="000000" w:themeColor="text1"/>
        </w:rPr>
        <w:t>m djelovanju službenika, uz vis</w:t>
      </w:r>
      <w:r w:rsidR="008A05B9" w:rsidRPr="00FC7A12">
        <w:rPr>
          <w:color w:val="000000" w:themeColor="text1"/>
        </w:rPr>
        <w:t>ok stepen učešća građana u vršenju javnih poslova, ostvariv</w:t>
      </w:r>
      <w:r w:rsidR="007C7116" w:rsidRPr="00FC7A12">
        <w:rPr>
          <w:color w:val="000000" w:themeColor="text1"/>
        </w:rPr>
        <w:t>anje većeg nivoa saradnje</w:t>
      </w:r>
      <w:r w:rsidR="008A05B9" w:rsidRPr="00FC7A12">
        <w:rPr>
          <w:color w:val="000000" w:themeColor="text1"/>
        </w:rPr>
        <w:t xml:space="preserve"> među jedinicama lok</w:t>
      </w:r>
      <w:r w:rsidR="007C7116" w:rsidRPr="00FC7A12">
        <w:rPr>
          <w:color w:val="000000" w:themeColor="text1"/>
        </w:rPr>
        <w:t>al</w:t>
      </w:r>
      <w:r w:rsidR="008A05B9" w:rsidRPr="00FC7A12">
        <w:rPr>
          <w:color w:val="000000" w:themeColor="text1"/>
        </w:rPr>
        <w:t>ne samouprave,</w:t>
      </w:r>
      <w:r w:rsidR="007C7116" w:rsidRPr="00FC7A12">
        <w:rPr>
          <w:color w:val="000000" w:themeColor="text1"/>
        </w:rPr>
        <w:t xml:space="preserve"> kao i između organa lokalne up</w:t>
      </w:r>
      <w:r w:rsidR="008A05B9" w:rsidRPr="00FC7A12">
        <w:rPr>
          <w:color w:val="000000" w:themeColor="text1"/>
        </w:rPr>
        <w:t>r</w:t>
      </w:r>
      <w:r w:rsidR="007C7116" w:rsidRPr="00FC7A12">
        <w:rPr>
          <w:color w:val="000000" w:themeColor="text1"/>
        </w:rPr>
        <w:t>ave i javn</w:t>
      </w:r>
      <w:r w:rsidR="008A05B9" w:rsidRPr="00FC7A12">
        <w:rPr>
          <w:color w:val="000000" w:themeColor="text1"/>
        </w:rPr>
        <w:t>ih službi čiji je osnivač država, kao i optimalno korišćenje ras</w:t>
      </w:r>
      <w:r w:rsidR="007C7116" w:rsidRPr="00FC7A12">
        <w:rPr>
          <w:color w:val="000000" w:themeColor="text1"/>
        </w:rPr>
        <w:t>položivih resursa i uvođenje sa</w:t>
      </w:r>
      <w:r w:rsidR="008A05B9" w:rsidRPr="00FC7A12">
        <w:rPr>
          <w:color w:val="000000" w:themeColor="text1"/>
        </w:rPr>
        <w:t>vremenih načina poslovanja.</w:t>
      </w:r>
      <w:r w:rsidR="000A7CAE" w:rsidRPr="00FC7A12">
        <w:rPr>
          <w:color w:val="000000" w:themeColor="text1"/>
        </w:rPr>
        <w:t xml:space="preserve"> </w:t>
      </w:r>
      <w:r w:rsidRPr="00FC7A12">
        <w:rPr>
          <w:color w:val="000000" w:themeColor="text1"/>
        </w:rPr>
        <w:t>Sama</w:t>
      </w:r>
      <w:r w:rsidRPr="00FC7A12">
        <w:t xml:space="preserve"> reforma, razumije se, predstavlja određeni proces, koji sadrži normativnu dinamiku donošenja određenih propisa i obavezu praćenja njihove implementacije u upravnoj oblasti. Eliminisanje nepotrebnih upravnih procedura, skraćenje rokova za donošenje odluka u upravnom postupku, sankcionisanje </w:t>
      </w:r>
      <w:r w:rsidR="000A7CAE" w:rsidRPr="00FC7A12">
        <w:t>„</w:t>
      </w:r>
      <w:r w:rsidRPr="00FC7A12">
        <w:t>ćutanja administracije“</w:t>
      </w:r>
      <w:r w:rsidR="000A7CAE" w:rsidRPr="00FC7A12">
        <w:t>,</w:t>
      </w:r>
      <w:r w:rsidRPr="00FC7A12">
        <w:t xml:space="preserve"> su samo neki od elemenata iz upravne oblasti u kome je težnja za efikasnom upravom došla do izražaja i počela davati konkretne rezultate.</w:t>
      </w:r>
    </w:p>
    <w:p w:rsidR="00373DC5" w:rsidRPr="00FC7A12" w:rsidRDefault="00373DC5" w:rsidP="00373DC5">
      <w:pPr>
        <w:ind w:right="-288" w:firstLine="708"/>
        <w:jc w:val="both"/>
        <w:rPr>
          <w:color w:val="000000" w:themeColor="text1"/>
        </w:rPr>
      </w:pPr>
      <w:r w:rsidRPr="00FC7A12">
        <w:rPr>
          <w:color w:val="000000" w:themeColor="text1"/>
        </w:rPr>
        <w:t xml:space="preserve">Pripremani su i dostavljani podaci za potrebe davanja Informacije o implementaciji reformskih mjera koje se sprovode u Opštini Nikšić u kontekstu Strategije reforme javne uprave u Crnoj Gori za period 2016-2020. i njihov uticaj na lokalne vlasti. </w:t>
      </w:r>
    </w:p>
    <w:p w:rsidR="00373DC5" w:rsidRPr="00FC7A12" w:rsidRDefault="00373DC5" w:rsidP="00373DC5">
      <w:pPr>
        <w:ind w:right="-288" w:firstLine="708"/>
        <w:jc w:val="both"/>
        <w:rPr>
          <w:color w:val="000000" w:themeColor="text1"/>
        </w:rPr>
      </w:pPr>
      <w:r w:rsidRPr="00FC7A12">
        <w:rPr>
          <w:color w:val="000000" w:themeColor="text1"/>
        </w:rPr>
        <w:t>Dostavljani su prijedlozi i sugestije u izradi nove Strategije reforme javne uprave 2021-2025, kao i u izradi Analize o primjeni Zakona o lokalnoj samoupravi.</w:t>
      </w:r>
    </w:p>
    <w:p w:rsidR="00373DC5" w:rsidRPr="00FC7A12" w:rsidRDefault="00373DC5" w:rsidP="00373DC5">
      <w:pPr>
        <w:ind w:right="-288" w:firstLine="708"/>
        <w:jc w:val="both"/>
        <w:rPr>
          <w:color w:val="000000" w:themeColor="text1"/>
        </w:rPr>
      </w:pPr>
      <w:r w:rsidRPr="00FC7A12">
        <w:rPr>
          <w:color w:val="000000" w:themeColor="text1"/>
        </w:rPr>
        <w:t>Shodno Zakonu o planiranju prostora i izgradnji  objekata  („Sl.list CG“, br. 64/17, 44/18, 63/18, 11/19 i 82/20) opština Nikšić je u 2020.</w:t>
      </w:r>
      <w:r w:rsidR="00665B8B">
        <w:rPr>
          <w:color w:val="000000" w:themeColor="text1"/>
        </w:rPr>
        <w:t xml:space="preserve"> </w:t>
      </w:r>
      <w:r w:rsidRPr="00FC7A12">
        <w:rPr>
          <w:color w:val="000000" w:themeColor="text1"/>
        </w:rPr>
        <w:t>godini, ispunjavajući obaveze iz Zakona u granicama propisanih nedležnosti lokalne samouprave, donijela određeni broj odluka kojima se uređuju pojedina pitanja iz pomenutih oblasti, i to: Odluku o naknadi za komunalno  opremanje građevinskog zemljišta, Odluku o naknadi za urbanu sanaciju, Odluku o obezbjeđivanju alternativnog smještaja, Odluku o godišnjoj naknadi za korišćenje prostora za bespravne objekte, Odluku o izmjenama i dopunama Odluke o postavljanju odnosno građenju i uklanjanju pomoćnih objekata na teritoriji Opštine Nikšić i Odluku o izgradnji lokalnih objekata od opšteg interesa. Ukoliko eventualno buduće izmjene i dopune Zakona budu nalagale donošenje novih odluka ili usaglašavanje postojećih sa njim, opština Nikšić će postupati po Zakonu.</w:t>
      </w:r>
    </w:p>
    <w:p w:rsidR="001E0992" w:rsidRPr="00FC7A12" w:rsidRDefault="001E0992" w:rsidP="00E34D60">
      <w:pPr>
        <w:ind w:right="-288" w:firstLine="708"/>
        <w:jc w:val="both"/>
      </w:pPr>
      <w:r w:rsidRPr="00FC7A12">
        <w:t>Upravljanje ljudskim resursima je od izuzetno</w:t>
      </w:r>
      <w:r w:rsidR="000A7CAE" w:rsidRPr="00FC7A12">
        <w:t xml:space="preserve">g značaja za lokalnu samoupravu jer su </w:t>
      </w:r>
      <w:r w:rsidRPr="00FC7A12">
        <w:t>„ljudski resursi najznačajniji faktor društevenog i ekonomskog razvoja lokalne samouprave“. Upravljanje radnim resursima je veoma kompleksan proces i segment rada u djelokrugu poslova jedinice lokalne samouprave. Tako, upravljanje ljudskim resursima u dijelu praćenja rezultata rada lokalnih službenika i namještenika, njihovog ocjenjivanja i napredovanja u službi podrazumijeva istovremeno ispunjenje određenih pretpostavki normativnog i instrumentalnog karaktera.</w:t>
      </w:r>
    </w:p>
    <w:p w:rsidR="00DF6FF7" w:rsidRPr="00FC7A12" w:rsidRDefault="00DF6FF7" w:rsidP="00E34D60">
      <w:pPr>
        <w:jc w:val="center"/>
      </w:pPr>
    </w:p>
    <w:p w:rsidR="001E0992" w:rsidRPr="00FC7A12" w:rsidRDefault="001E0992" w:rsidP="00E34D60">
      <w:pPr>
        <w:jc w:val="center"/>
      </w:pPr>
      <w:r w:rsidRPr="00FC7A12">
        <w:t>*</w:t>
      </w:r>
    </w:p>
    <w:p w:rsidR="003567DF" w:rsidRPr="00FC7A12" w:rsidRDefault="003567DF" w:rsidP="00E34D60">
      <w:pPr>
        <w:jc w:val="center"/>
      </w:pPr>
    </w:p>
    <w:p w:rsidR="003567DF" w:rsidRPr="00FC7A12" w:rsidRDefault="003567DF" w:rsidP="00E34D60">
      <w:pPr>
        <w:jc w:val="center"/>
      </w:pPr>
    </w:p>
    <w:p w:rsidR="003567DF" w:rsidRPr="00FC7A12" w:rsidRDefault="003567DF" w:rsidP="00E34D60">
      <w:pPr>
        <w:ind w:firstLine="708"/>
        <w:jc w:val="both"/>
        <w:rPr>
          <w:color w:val="000000"/>
        </w:rPr>
      </w:pPr>
      <w:r w:rsidRPr="00FC7A12">
        <w:rPr>
          <w:color w:val="000000"/>
        </w:rPr>
        <w:t xml:space="preserve">Rad </w:t>
      </w:r>
      <w:r w:rsidRPr="00FC7A12">
        <w:rPr>
          <w:b/>
          <w:color w:val="000000"/>
        </w:rPr>
        <w:t>Sekretarijata za uređenje prostora i zaštitu životne sredine</w:t>
      </w:r>
      <w:r w:rsidR="0022129F">
        <w:rPr>
          <w:color w:val="000000"/>
        </w:rPr>
        <w:t xml:space="preserve"> u </w:t>
      </w:r>
      <w:r w:rsidR="00CD25C7" w:rsidRPr="00FC7A12">
        <w:rPr>
          <w:color w:val="000000"/>
        </w:rPr>
        <w:t>2020</w:t>
      </w:r>
      <w:r w:rsidRPr="00FC7A12">
        <w:rPr>
          <w:color w:val="000000"/>
        </w:rPr>
        <w:t>.</w:t>
      </w:r>
      <w:r w:rsidR="009203DB" w:rsidRPr="00FC7A12">
        <w:rPr>
          <w:color w:val="000000"/>
        </w:rPr>
        <w:t xml:space="preserve"> </w:t>
      </w:r>
      <w:r w:rsidRPr="00FC7A12">
        <w:rPr>
          <w:color w:val="000000"/>
        </w:rPr>
        <w:t>godini   odvijao se u skladu sa propisima  koji regulišu oblasti iz nadležnosti ovog organ</w:t>
      </w:r>
      <w:r w:rsidR="0022129F">
        <w:rPr>
          <w:color w:val="000000"/>
        </w:rPr>
        <w:t>a</w:t>
      </w:r>
      <w:r w:rsidRPr="00FC7A12">
        <w:rPr>
          <w:color w:val="000000"/>
        </w:rPr>
        <w:t>.</w:t>
      </w:r>
    </w:p>
    <w:p w:rsidR="003567DF" w:rsidRPr="00FC7A12" w:rsidRDefault="003567DF" w:rsidP="00E34D60">
      <w:pPr>
        <w:ind w:firstLine="708"/>
        <w:jc w:val="both"/>
        <w:rPr>
          <w:color w:val="000000"/>
        </w:rPr>
      </w:pPr>
      <w:r w:rsidRPr="00FC7A12">
        <w:rPr>
          <w:color w:val="000000"/>
        </w:rPr>
        <w:t xml:space="preserve">U izvještajnom periodu prema Sekretarijatu za uređenje prostora i zaštitu životne sredine, podneseno je </w:t>
      </w:r>
      <w:r w:rsidRPr="00FC7A12">
        <w:t xml:space="preserve">ukupno  </w:t>
      </w:r>
      <w:r w:rsidR="00CD25C7" w:rsidRPr="00FC7A12">
        <w:rPr>
          <w:b/>
          <w:color w:val="000000"/>
        </w:rPr>
        <w:t>1573</w:t>
      </w:r>
      <w:r w:rsidRPr="00FC7A12">
        <w:rPr>
          <w:color w:val="000000"/>
        </w:rPr>
        <w:t xml:space="preserve">  zahtjeva odnosno akata za  obradu. </w:t>
      </w:r>
    </w:p>
    <w:p w:rsidR="00CD25C7" w:rsidRPr="00FC7A12" w:rsidRDefault="0022129F" w:rsidP="00CD25C7">
      <w:pPr>
        <w:ind w:firstLine="142"/>
        <w:jc w:val="both"/>
        <w:rPr>
          <w:bCs/>
          <w:color w:val="000000"/>
          <w:lang w:val="it-IT"/>
        </w:rPr>
      </w:pPr>
      <w:r>
        <w:rPr>
          <w:color w:val="000000"/>
        </w:rPr>
        <w:t>Ovaj s</w:t>
      </w:r>
      <w:r w:rsidR="003567DF" w:rsidRPr="00FC7A12">
        <w:rPr>
          <w:color w:val="000000"/>
        </w:rPr>
        <w:t>ekretarijat je u izvještajnom periodu u okviru svojih nadležnosti iz dijela normativne djelatnosti pripremao predloge sledećih normativnih akata (Odluke i  Programi):</w:t>
      </w:r>
      <w:r w:rsidR="003567DF" w:rsidRPr="00FC7A12">
        <w:rPr>
          <w:bCs/>
          <w:color w:val="000000"/>
          <w:lang w:val="it-IT"/>
        </w:rPr>
        <w:t xml:space="preserve"> </w:t>
      </w:r>
    </w:p>
    <w:p w:rsidR="00CD25C7" w:rsidRPr="00FC7A12" w:rsidRDefault="00CD25C7" w:rsidP="00570B2F">
      <w:pPr>
        <w:numPr>
          <w:ilvl w:val="0"/>
          <w:numId w:val="25"/>
        </w:numPr>
        <w:jc w:val="both"/>
      </w:pPr>
      <w:r w:rsidRPr="00FC7A12">
        <w:t>Odluka o nakandi za komunalno opremanje gradjevinskog zemljišta</w:t>
      </w:r>
    </w:p>
    <w:p w:rsidR="00CD25C7" w:rsidRPr="00FC7A12" w:rsidRDefault="00CD25C7" w:rsidP="00570B2F">
      <w:pPr>
        <w:numPr>
          <w:ilvl w:val="0"/>
          <w:numId w:val="25"/>
        </w:numPr>
        <w:jc w:val="both"/>
      </w:pPr>
      <w:r w:rsidRPr="00FC7A12">
        <w:lastRenderedPageBreak/>
        <w:t>Odluke o nakandi za urbanu sanaciju</w:t>
      </w:r>
    </w:p>
    <w:p w:rsidR="00CD25C7" w:rsidRPr="00FC7A12" w:rsidRDefault="00CD25C7" w:rsidP="00570B2F">
      <w:pPr>
        <w:numPr>
          <w:ilvl w:val="0"/>
          <w:numId w:val="25"/>
        </w:numPr>
        <w:jc w:val="both"/>
      </w:pPr>
      <w:r w:rsidRPr="00FC7A12">
        <w:t>Odluke o godišnjoj naknadi za korišćenje prostora za bespravne objekte</w:t>
      </w:r>
    </w:p>
    <w:p w:rsidR="00CD25C7" w:rsidRPr="00FC7A12" w:rsidRDefault="00CD25C7" w:rsidP="00570B2F">
      <w:pPr>
        <w:numPr>
          <w:ilvl w:val="0"/>
          <w:numId w:val="25"/>
        </w:numPr>
        <w:jc w:val="both"/>
      </w:pPr>
      <w:r w:rsidRPr="00FC7A12">
        <w:t>Odluke o obezbjeđivanju alternativnog smještaja, na koje je nadležno Ministarstvo dalo saglasnost, kao i :</w:t>
      </w:r>
    </w:p>
    <w:p w:rsidR="00CD25C7" w:rsidRPr="00FC7A12" w:rsidRDefault="00CD25C7" w:rsidP="00570B2F">
      <w:pPr>
        <w:numPr>
          <w:ilvl w:val="0"/>
          <w:numId w:val="25"/>
        </w:numPr>
        <w:jc w:val="both"/>
      </w:pPr>
      <w:r w:rsidRPr="00FC7A12">
        <w:t xml:space="preserve">Odluke o izmjenama i dopunama Odluke o postavljanju odnosno građenju  i uklanjanju pomoćnih objekata i </w:t>
      </w:r>
    </w:p>
    <w:p w:rsidR="00CD25C7" w:rsidRPr="00FC7A12" w:rsidRDefault="00CD25C7" w:rsidP="00570B2F">
      <w:pPr>
        <w:numPr>
          <w:ilvl w:val="0"/>
          <w:numId w:val="25"/>
        </w:numPr>
        <w:jc w:val="both"/>
      </w:pPr>
      <w:r w:rsidRPr="00FC7A12">
        <w:t xml:space="preserve">Odluke o izgradnji lokalnih objekata od opšteg interesa. </w:t>
      </w:r>
    </w:p>
    <w:p w:rsidR="00CD25C7" w:rsidRPr="00FC7A12" w:rsidRDefault="00CD25C7" w:rsidP="00E34D60">
      <w:pPr>
        <w:ind w:firstLine="142"/>
        <w:jc w:val="both"/>
        <w:rPr>
          <w:bCs/>
          <w:color w:val="000000"/>
          <w:lang w:val="it-IT"/>
        </w:rPr>
      </w:pPr>
    </w:p>
    <w:p w:rsidR="002E24DD" w:rsidRPr="00FC7A12" w:rsidRDefault="0022129F" w:rsidP="00E34D60">
      <w:pPr>
        <w:ind w:firstLine="708"/>
        <w:jc w:val="both"/>
        <w:rPr>
          <w:color w:val="000000"/>
        </w:rPr>
      </w:pPr>
      <w:r>
        <w:rPr>
          <w:color w:val="000000"/>
        </w:rPr>
        <w:t>Iz dijela nadležnosti ovog s</w:t>
      </w:r>
      <w:r w:rsidR="002E24DD" w:rsidRPr="00FC7A12">
        <w:rPr>
          <w:color w:val="000000"/>
        </w:rPr>
        <w:t>ekretarijata koji se odnosi na obavljanje upravnih poslova-vodje</w:t>
      </w:r>
      <w:r w:rsidR="00CD25C7" w:rsidRPr="00FC7A12">
        <w:rPr>
          <w:color w:val="000000"/>
        </w:rPr>
        <w:t>nje upravnog postupka tokom 2020</w:t>
      </w:r>
      <w:r w:rsidR="002E24DD" w:rsidRPr="00FC7A12">
        <w:rPr>
          <w:color w:val="000000"/>
        </w:rPr>
        <w:t>.godine daju se kratki podatci o obavljanju istih i to:</w:t>
      </w:r>
    </w:p>
    <w:p w:rsidR="00CD25C7" w:rsidRPr="00FC7A12" w:rsidRDefault="00CD25C7" w:rsidP="00E34D60">
      <w:pPr>
        <w:ind w:firstLine="708"/>
        <w:jc w:val="both"/>
        <w:rPr>
          <w:color w:val="000000"/>
        </w:rPr>
      </w:pPr>
    </w:p>
    <w:p w:rsidR="002E24DD" w:rsidRPr="00FC7A12" w:rsidRDefault="002E24DD" w:rsidP="00570B2F">
      <w:pPr>
        <w:pStyle w:val="ListParagraph"/>
        <w:numPr>
          <w:ilvl w:val="0"/>
          <w:numId w:val="26"/>
        </w:numPr>
        <w:jc w:val="both"/>
        <w:rPr>
          <w:color w:val="000000"/>
        </w:rPr>
      </w:pPr>
      <w:r w:rsidRPr="00FC7A12">
        <w:rPr>
          <w:color w:val="000000"/>
        </w:rPr>
        <w:t>Izdato urbanističko tehničkih uslova za izradu tehničke dokumentacije i za izgradnju, rekonstrukciju, dogradnju i nadgradnju stambenih, pomoćnih i poslovnih objekata i objekata od opšteg interesa</w:t>
      </w:r>
      <w:r w:rsidRPr="00FC7A12">
        <w:rPr>
          <w:b/>
          <w:color w:val="000000"/>
        </w:rPr>
        <w:t xml:space="preserve"> </w:t>
      </w:r>
      <w:r w:rsidRPr="00FC7A12">
        <w:rPr>
          <w:color w:val="000000"/>
        </w:rPr>
        <w:t xml:space="preserve">i objekata društvenog </w:t>
      </w:r>
      <w:r w:rsidR="000769D7" w:rsidRPr="00FC7A12">
        <w:rPr>
          <w:color w:val="000000"/>
        </w:rPr>
        <w:t>standard-</w:t>
      </w:r>
      <w:r w:rsidRPr="00FC7A12">
        <w:rPr>
          <w:b/>
          <w:color w:val="000000"/>
        </w:rPr>
        <w:t>u</w:t>
      </w:r>
      <w:r w:rsidR="00CD25C7" w:rsidRPr="00FC7A12">
        <w:rPr>
          <w:b/>
          <w:color w:val="000000"/>
        </w:rPr>
        <w:t>kupno: 148</w:t>
      </w:r>
    </w:p>
    <w:p w:rsidR="002E24DD" w:rsidRPr="00FC7A12" w:rsidRDefault="002E24DD" w:rsidP="00570B2F">
      <w:pPr>
        <w:pStyle w:val="ListParagraph"/>
        <w:numPr>
          <w:ilvl w:val="0"/>
          <w:numId w:val="26"/>
        </w:numPr>
        <w:jc w:val="both"/>
        <w:rPr>
          <w:b/>
          <w:color w:val="000000"/>
        </w:rPr>
      </w:pPr>
      <w:r w:rsidRPr="00FC7A12">
        <w:rPr>
          <w:color w:val="000000"/>
        </w:rPr>
        <w:t>Izdato upotrebnih dozvola za izgrađene, rekonstruisane, nadgrađene i dograđene stambene objekte, za pomoćne i poslovne i druge objekte, odnosno odobranja za upotrebu objekata od opšteg interesa</w:t>
      </w:r>
      <w:r w:rsidRPr="00FC7A12">
        <w:rPr>
          <w:b/>
          <w:color w:val="000000"/>
        </w:rPr>
        <w:t xml:space="preserve"> </w:t>
      </w:r>
      <w:r w:rsidRPr="00FC7A12">
        <w:rPr>
          <w:color w:val="000000"/>
        </w:rPr>
        <w:t>i</w:t>
      </w:r>
      <w:r w:rsidR="000769D7" w:rsidRPr="00FC7A12">
        <w:rPr>
          <w:color w:val="000000"/>
        </w:rPr>
        <w:t xml:space="preserve"> objekata društvenog standard-</w:t>
      </w:r>
      <w:r w:rsidRPr="00FC7A12">
        <w:rPr>
          <w:b/>
          <w:color w:val="000000"/>
        </w:rPr>
        <w:t>ukupno:</w:t>
      </w:r>
      <w:r w:rsidRPr="00FC7A12">
        <w:rPr>
          <w:color w:val="000000"/>
        </w:rPr>
        <w:t xml:space="preserve"> </w:t>
      </w:r>
      <w:r w:rsidR="00CD25C7" w:rsidRPr="00FC7A12">
        <w:rPr>
          <w:b/>
          <w:color w:val="000000"/>
        </w:rPr>
        <w:t>25</w:t>
      </w:r>
    </w:p>
    <w:p w:rsidR="00CD25C7" w:rsidRPr="00FC7A12" w:rsidRDefault="002E24DD" w:rsidP="00570B2F">
      <w:pPr>
        <w:pStyle w:val="ListParagraph"/>
        <w:numPr>
          <w:ilvl w:val="0"/>
          <w:numId w:val="26"/>
        </w:numPr>
        <w:jc w:val="both"/>
        <w:rPr>
          <w:color w:val="000000"/>
        </w:rPr>
      </w:pPr>
      <w:r w:rsidRPr="00FC7A12">
        <w:rPr>
          <w:color w:val="000000"/>
        </w:rPr>
        <w:t>Izdato  rješenja o gradjevinskoj dozvoli za izgradnju, rekonstrukciju, dogradnju i nadgradnju, stambenih, pomoćnih i poslovnih objekata, odnosno odobranja za građenje objekata od opšteg interesa</w:t>
      </w:r>
      <w:r w:rsidRPr="00FC7A12">
        <w:rPr>
          <w:b/>
          <w:color w:val="000000"/>
        </w:rPr>
        <w:t xml:space="preserve"> </w:t>
      </w:r>
      <w:r w:rsidRPr="00FC7A12">
        <w:rPr>
          <w:color w:val="000000"/>
        </w:rPr>
        <w:t xml:space="preserve">i objekata društvenog standarda </w:t>
      </w:r>
      <w:r w:rsidR="000769D7" w:rsidRPr="00FC7A12">
        <w:rPr>
          <w:color w:val="000000"/>
        </w:rPr>
        <w:t>-</w:t>
      </w:r>
      <w:r w:rsidRPr="00FC7A12">
        <w:rPr>
          <w:b/>
          <w:color w:val="000000"/>
        </w:rPr>
        <w:t>u</w:t>
      </w:r>
      <w:r w:rsidR="00CD25C7" w:rsidRPr="00FC7A12">
        <w:rPr>
          <w:b/>
          <w:color w:val="000000"/>
        </w:rPr>
        <w:t>kupno: 29</w:t>
      </w:r>
    </w:p>
    <w:p w:rsidR="005B2EDB" w:rsidRPr="00FC7A12" w:rsidRDefault="005B2EDB" w:rsidP="00570B2F">
      <w:pPr>
        <w:pStyle w:val="ListParagraph"/>
        <w:numPr>
          <w:ilvl w:val="0"/>
          <w:numId w:val="26"/>
        </w:numPr>
        <w:jc w:val="both"/>
        <w:rPr>
          <w:color w:val="000000"/>
        </w:rPr>
      </w:pPr>
      <w:r w:rsidRPr="00FC7A12">
        <w:rPr>
          <w:color w:val="000000"/>
        </w:rPr>
        <w:t>Izdata rješenja o legalizaciji bespravno izg</w:t>
      </w:r>
      <w:r w:rsidR="0022129F">
        <w:rPr>
          <w:color w:val="000000"/>
        </w:rPr>
        <w:t>rađenih objekata na teritoriji o</w:t>
      </w:r>
      <w:r w:rsidRPr="00FC7A12">
        <w:rPr>
          <w:color w:val="000000"/>
        </w:rPr>
        <w:t xml:space="preserve">pštine Nikšić- </w:t>
      </w:r>
      <w:r w:rsidRPr="00FC7A12">
        <w:rPr>
          <w:b/>
          <w:color w:val="000000"/>
        </w:rPr>
        <w:t>ukupno: 36</w:t>
      </w:r>
    </w:p>
    <w:p w:rsidR="005B2EDB" w:rsidRPr="00FC7A12" w:rsidRDefault="005B2EDB" w:rsidP="00570B2F">
      <w:pPr>
        <w:pStyle w:val="ListParagraph"/>
        <w:numPr>
          <w:ilvl w:val="0"/>
          <w:numId w:val="26"/>
        </w:numPr>
        <w:jc w:val="both"/>
        <w:rPr>
          <w:b/>
          <w:color w:val="000000"/>
        </w:rPr>
      </w:pPr>
      <w:r w:rsidRPr="00FC7A12">
        <w:rPr>
          <w:color w:val="000000"/>
        </w:rPr>
        <w:t>Doneseno rješenja o pristupu  informacijama iz oblasti urbanizma i gradjevinarstva-</w:t>
      </w:r>
      <w:r w:rsidRPr="00FC7A12">
        <w:rPr>
          <w:b/>
          <w:color w:val="000000"/>
        </w:rPr>
        <w:t>ukupno: 6</w:t>
      </w:r>
    </w:p>
    <w:p w:rsidR="00CD25C7" w:rsidRPr="00FC7A12" w:rsidRDefault="002E24DD" w:rsidP="00570B2F">
      <w:pPr>
        <w:pStyle w:val="ListParagraph"/>
        <w:numPr>
          <w:ilvl w:val="0"/>
          <w:numId w:val="26"/>
        </w:numPr>
        <w:jc w:val="both"/>
        <w:rPr>
          <w:color w:val="000000"/>
        </w:rPr>
      </w:pPr>
      <w:r w:rsidRPr="00FC7A12">
        <w:rPr>
          <w:color w:val="000000"/>
        </w:rPr>
        <w:t>Pripremljeno i izdato urbanističko tehničkih uslova za parcelaciju gradjevinskog zemljišta, u svrhu otkupa zemljišta i legalizacije bespravno izgrađenih objekata</w:t>
      </w:r>
      <w:r w:rsidR="000769D7" w:rsidRPr="00FC7A12">
        <w:rPr>
          <w:color w:val="000000"/>
        </w:rPr>
        <w:t>-</w:t>
      </w:r>
      <w:r w:rsidR="00CD25C7" w:rsidRPr="00FC7A12">
        <w:rPr>
          <w:b/>
          <w:color w:val="000000"/>
        </w:rPr>
        <w:t>ukupno: 10</w:t>
      </w:r>
    </w:p>
    <w:p w:rsidR="00B40255" w:rsidRPr="00FC7A12" w:rsidRDefault="002E24DD" w:rsidP="00570B2F">
      <w:pPr>
        <w:pStyle w:val="ListParagraph"/>
        <w:numPr>
          <w:ilvl w:val="0"/>
          <w:numId w:val="26"/>
        </w:numPr>
        <w:jc w:val="both"/>
        <w:rPr>
          <w:color w:val="000000" w:themeColor="text1"/>
        </w:rPr>
      </w:pPr>
      <w:r w:rsidRPr="00FC7A12">
        <w:rPr>
          <w:color w:val="000000" w:themeColor="text1"/>
        </w:rPr>
        <w:t>Doneseno rješenja i zaključaka o o</w:t>
      </w:r>
      <w:r w:rsidR="00CD25C7" w:rsidRPr="00FC7A12">
        <w:rPr>
          <w:color w:val="000000" w:themeColor="text1"/>
        </w:rPr>
        <w:t>dbacivanju, odbijanju  zahtjeva</w:t>
      </w:r>
      <w:r w:rsidRPr="00FC7A12">
        <w:rPr>
          <w:color w:val="000000" w:themeColor="text1"/>
        </w:rPr>
        <w:t xml:space="preserve">, obustavljanju postupka i obnovi postupka za  urbanističko tehničke uslove za izradu tehničke dokumentacije i za izgradnju, rekonstrukciju, dogradnju i nadgradnju stambenih, pomoćnih i poslovnih objekata i objekata od opšteg interesa i objekata društvenog </w:t>
      </w:r>
      <w:r w:rsidR="000769D7" w:rsidRPr="00FC7A12">
        <w:rPr>
          <w:color w:val="000000" w:themeColor="text1"/>
        </w:rPr>
        <w:t>standard-</w:t>
      </w:r>
      <w:r w:rsidR="00CD25C7" w:rsidRPr="00FC7A12">
        <w:rPr>
          <w:b/>
          <w:color w:val="000000"/>
        </w:rPr>
        <w:t>ukupno: 1</w:t>
      </w:r>
    </w:p>
    <w:p w:rsidR="005B2EDB" w:rsidRPr="00FC7A12" w:rsidRDefault="005B2EDB" w:rsidP="00570B2F">
      <w:pPr>
        <w:pStyle w:val="ListParagraph"/>
        <w:numPr>
          <w:ilvl w:val="0"/>
          <w:numId w:val="26"/>
        </w:numPr>
        <w:jc w:val="both"/>
        <w:rPr>
          <w:b/>
          <w:color w:val="000000" w:themeColor="text1"/>
        </w:rPr>
      </w:pPr>
      <w:r w:rsidRPr="00FC7A12">
        <w:rPr>
          <w:color w:val="000000" w:themeColor="text1"/>
        </w:rPr>
        <w:t>Odgovori,</w:t>
      </w:r>
      <w:r w:rsidR="00262A75">
        <w:rPr>
          <w:color w:val="000000" w:themeColor="text1"/>
        </w:rPr>
        <w:t xml:space="preserve"> obaveštenja na zahtjeve</w:t>
      </w:r>
      <w:r w:rsidRPr="00FC7A12">
        <w:rPr>
          <w:color w:val="000000" w:themeColor="text1"/>
        </w:rPr>
        <w:t>, izdata uvjerenja i slično  iz službene i druge evidencije-</w:t>
      </w:r>
      <w:r w:rsidRPr="00FC7A12">
        <w:rPr>
          <w:b/>
          <w:color w:val="000000" w:themeColor="text1"/>
        </w:rPr>
        <w:t>ukupno: 181</w:t>
      </w:r>
    </w:p>
    <w:p w:rsidR="00B40255" w:rsidRPr="00FC7A12" w:rsidRDefault="00B40255" w:rsidP="00570B2F">
      <w:pPr>
        <w:pStyle w:val="ListParagraph"/>
        <w:numPr>
          <w:ilvl w:val="0"/>
          <w:numId w:val="26"/>
        </w:numPr>
        <w:jc w:val="both"/>
        <w:rPr>
          <w:color w:val="000000"/>
        </w:rPr>
      </w:pPr>
      <w:r w:rsidRPr="00FC7A12">
        <w:rPr>
          <w:color w:val="000000"/>
        </w:rPr>
        <w:t>Izdato rješenja za produženje važenja odobrenja za postavljanje-izgradnju privremenih objekata</w:t>
      </w:r>
      <w:r w:rsidR="000769D7" w:rsidRPr="00FC7A12">
        <w:rPr>
          <w:color w:val="000000"/>
        </w:rPr>
        <w:t>-</w:t>
      </w:r>
      <w:r w:rsidRPr="00FC7A12">
        <w:rPr>
          <w:b/>
          <w:color w:val="000000"/>
        </w:rPr>
        <w:t>u</w:t>
      </w:r>
      <w:r w:rsidR="00CD25C7" w:rsidRPr="00FC7A12">
        <w:rPr>
          <w:b/>
          <w:color w:val="000000"/>
        </w:rPr>
        <w:t>kupno: 54</w:t>
      </w:r>
    </w:p>
    <w:p w:rsidR="005B2EDB" w:rsidRPr="00FC7A12" w:rsidRDefault="00CD25C7" w:rsidP="00570B2F">
      <w:pPr>
        <w:pStyle w:val="ListParagraph"/>
        <w:numPr>
          <w:ilvl w:val="0"/>
          <w:numId w:val="26"/>
        </w:numPr>
        <w:jc w:val="both"/>
        <w:rPr>
          <w:color w:val="000000"/>
        </w:rPr>
      </w:pPr>
      <w:r w:rsidRPr="00FC7A12">
        <w:rPr>
          <w:color w:val="000000"/>
        </w:rPr>
        <w:t>Izdato urbanističko-tehnički uslovi</w:t>
      </w:r>
      <w:r w:rsidR="00B40255" w:rsidRPr="00FC7A12">
        <w:rPr>
          <w:color w:val="000000"/>
        </w:rPr>
        <w:t xml:space="preserve"> za postavljanje montažnih objekata  privremenog karaktera </w:t>
      </w:r>
      <w:r w:rsidR="000769D7" w:rsidRPr="00FC7A12">
        <w:rPr>
          <w:color w:val="000000"/>
        </w:rPr>
        <w:t>-</w:t>
      </w:r>
      <w:r w:rsidR="00B40255" w:rsidRPr="00FC7A12">
        <w:rPr>
          <w:b/>
          <w:color w:val="000000"/>
        </w:rPr>
        <w:t>u</w:t>
      </w:r>
      <w:r w:rsidRPr="00FC7A12">
        <w:rPr>
          <w:b/>
          <w:color w:val="000000"/>
        </w:rPr>
        <w:t>kupno:</w:t>
      </w:r>
      <w:r w:rsidR="005B2EDB" w:rsidRPr="00FC7A12">
        <w:rPr>
          <w:b/>
          <w:color w:val="000000"/>
        </w:rPr>
        <w:t xml:space="preserve"> </w:t>
      </w:r>
      <w:r w:rsidRPr="00FC7A12">
        <w:rPr>
          <w:b/>
          <w:color w:val="000000"/>
        </w:rPr>
        <w:t>76</w:t>
      </w:r>
      <w:r w:rsidR="00B40255" w:rsidRPr="00FC7A12">
        <w:rPr>
          <w:b/>
          <w:color w:val="000000"/>
        </w:rPr>
        <w:t xml:space="preserve"> </w:t>
      </w:r>
    </w:p>
    <w:p w:rsidR="005B2EDB" w:rsidRPr="00FC7A12" w:rsidRDefault="00B40255" w:rsidP="00570B2F">
      <w:pPr>
        <w:pStyle w:val="ListParagraph"/>
        <w:numPr>
          <w:ilvl w:val="0"/>
          <w:numId w:val="26"/>
        </w:numPr>
        <w:jc w:val="both"/>
        <w:rPr>
          <w:color w:val="000000"/>
        </w:rPr>
      </w:pPr>
      <w:r w:rsidRPr="00FC7A12">
        <w:rPr>
          <w:b/>
          <w:color w:val="000000"/>
        </w:rPr>
        <w:t xml:space="preserve"> </w:t>
      </w:r>
      <w:r w:rsidR="005B2EDB" w:rsidRPr="00FC7A12">
        <w:rPr>
          <w:color w:val="000000"/>
        </w:rPr>
        <w:t>Izdato rješenja i rješenja  o produženju za  privremeno korišće</w:t>
      </w:r>
      <w:r w:rsidR="00262A75">
        <w:rPr>
          <w:color w:val="000000"/>
        </w:rPr>
        <w:t xml:space="preserve">nje komunalnih objekata, u poslovne </w:t>
      </w:r>
      <w:r w:rsidR="005B2EDB" w:rsidRPr="00FC7A12">
        <w:rPr>
          <w:color w:val="000000"/>
        </w:rPr>
        <w:t>svrhe, (terase, pokretni stolovi, viseće tende, vitrine, montažno demontažne tende, ...)</w:t>
      </w:r>
    </w:p>
    <w:p w:rsidR="005B2EDB" w:rsidRPr="00FC7A12" w:rsidRDefault="005B2EDB" w:rsidP="00570B2F">
      <w:pPr>
        <w:pStyle w:val="ListParagraph"/>
        <w:numPr>
          <w:ilvl w:val="0"/>
          <w:numId w:val="27"/>
        </w:numPr>
        <w:jc w:val="both"/>
        <w:rPr>
          <w:b/>
          <w:color w:val="000000"/>
        </w:rPr>
      </w:pPr>
      <w:r w:rsidRPr="00FC7A12">
        <w:rPr>
          <w:b/>
          <w:color w:val="000000"/>
        </w:rPr>
        <w:t xml:space="preserve">viseće </w:t>
      </w:r>
      <w:r w:rsidRPr="00FC7A12">
        <w:rPr>
          <w:color w:val="000000"/>
        </w:rPr>
        <w:t>tende</w:t>
      </w:r>
      <w:r w:rsidRPr="00FC7A12">
        <w:rPr>
          <w:b/>
          <w:color w:val="000000"/>
        </w:rPr>
        <w:t xml:space="preserve"> ukupno: 20        </w:t>
      </w:r>
    </w:p>
    <w:p w:rsidR="005B2EDB" w:rsidRPr="00FC7A12" w:rsidRDefault="005B2EDB" w:rsidP="00570B2F">
      <w:pPr>
        <w:pStyle w:val="ListParagraph"/>
        <w:numPr>
          <w:ilvl w:val="0"/>
          <w:numId w:val="27"/>
        </w:numPr>
        <w:jc w:val="both"/>
        <w:rPr>
          <w:b/>
          <w:color w:val="000000"/>
        </w:rPr>
      </w:pPr>
      <w:r w:rsidRPr="00FC7A12">
        <w:rPr>
          <w:b/>
          <w:color w:val="000000"/>
        </w:rPr>
        <w:t xml:space="preserve">terase ukupno: 78         </w:t>
      </w:r>
    </w:p>
    <w:p w:rsidR="005B2EDB" w:rsidRPr="00FC7A12" w:rsidRDefault="005B2EDB" w:rsidP="00570B2F">
      <w:pPr>
        <w:pStyle w:val="ListParagraph"/>
        <w:numPr>
          <w:ilvl w:val="0"/>
          <w:numId w:val="27"/>
        </w:numPr>
        <w:jc w:val="both"/>
        <w:rPr>
          <w:b/>
          <w:color w:val="000000"/>
        </w:rPr>
      </w:pPr>
      <w:r w:rsidRPr="00FC7A12">
        <w:rPr>
          <w:color w:val="000000"/>
        </w:rPr>
        <w:t>rashladne vitrine, kondezatori za sladoled, frižideri</w:t>
      </w:r>
      <w:r w:rsidRPr="00FC7A12">
        <w:rPr>
          <w:b/>
          <w:color w:val="000000"/>
        </w:rPr>
        <w:t xml:space="preserve">  ukupno: 75</w:t>
      </w:r>
    </w:p>
    <w:p w:rsidR="00B40255" w:rsidRPr="00FC7A12" w:rsidRDefault="005B2EDB" w:rsidP="00570B2F">
      <w:pPr>
        <w:pStyle w:val="ListParagraph"/>
        <w:numPr>
          <w:ilvl w:val="0"/>
          <w:numId w:val="27"/>
        </w:numPr>
        <w:jc w:val="both"/>
        <w:rPr>
          <w:color w:val="000000"/>
        </w:rPr>
      </w:pPr>
      <w:r w:rsidRPr="00FC7A12">
        <w:rPr>
          <w:color w:val="000000"/>
        </w:rPr>
        <w:t>ostalo</w:t>
      </w:r>
      <w:r w:rsidRPr="00FC7A12">
        <w:rPr>
          <w:b/>
          <w:color w:val="000000"/>
        </w:rPr>
        <w:t xml:space="preserve"> ukupno: 50                </w:t>
      </w:r>
    </w:p>
    <w:p w:rsidR="00B40255" w:rsidRPr="00FC7A12" w:rsidRDefault="00B40255" w:rsidP="00570B2F">
      <w:pPr>
        <w:pStyle w:val="ListParagraph"/>
        <w:numPr>
          <w:ilvl w:val="0"/>
          <w:numId w:val="26"/>
        </w:numPr>
        <w:jc w:val="both"/>
        <w:rPr>
          <w:color w:val="000000"/>
        </w:rPr>
      </w:pPr>
      <w:r w:rsidRPr="00FC7A12">
        <w:rPr>
          <w:color w:val="000000"/>
        </w:rPr>
        <w:t>Izdato rješenja i rješenja za produženje  za postavljanje reklamnih panoa, bilborda, city light panoa</w:t>
      </w:r>
      <w:r w:rsidR="000769D7" w:rsidRPr="00FC7A12">
        <w:rPr>
          <w:color w:val="000000"/>
        </w:rPr>
        <w:t>-</w:t>
      </w:r>
      <w:r w:rsidR="000769D7" w:rsidRPr="00FC7A12">
        <w:rPr>
          <w:b/>
          <w:color w:val="000000"/>
        </w:rPr>
        <w:t>ukupno: 80</w:t>
      </w:r>
    </w:p>
    <w:p w:rsidR="005B2EDB" w:rsidRPr="00FC7A12" w:rsidRDefault="005B2EDB" w:rsidP="00570B2F">
      <w:pPr>
        <w:pStyle w:val="ListParagraph"/>
        <w:numPr>
          <w:ilvl w:val="0"/>
          <w:numId w:val="26"/>
        </w:numPr>
        <w:jc w:val="both"/>
        <w:rPr>
          <w:color w:val="000000"/>
        </w:rPr>
      </w:pPr>
      <w:r w:rsidRPr="00FC7A12">
        <w:rPr>
          <w:color w:val="000000"/>
        </w:rPr>
        <w:t xml:space="preserve">Doneseno rješenja o pristupu  informacijama iz oblasti  zaštite životne sredine - </w:t>
      </w:r>
      <w:r w:rsidRPr="00FC7A12">
        <w:rPr>
          <w:b/>
          <w:color w:val="000000"/>
        </w:rPr>
        <w:t>ukupno: 1</w:t>
      </w:r>
      <w:r w:rsidRPr="00FC7A12">
        <w:rPr>
          <w:color w:val="000000"/>
        </w:rPr>
        <w:t xml:space="preserve">                                               </w:t>
      </w:r>
    </w:p>
    <w:p w:rsidR="00B40255" w:rsidRPr="00FC7A12" w:rsidRDefault="00B40255" w:rsidP="00570B2F">
      <w:pPr>
        <w:pStyle w:val="ListParagraph"/>
        <w:numPr>
          <w:ilvl w:val="0"/>
          <w:numId w:val="26"/>
        </w:numPr>
        <w:jc w:val="both"/>
        <w:rPr>
          <w:color w:val="000000"/>
        </w:rPr>
      </w:pPr>
      <w:r w:rsidRPr="00FC7A12">
        <w:rPr>
          <w:color w:val="000000"/>
        </w:rPr>
        <w:t xml:space="preserve">Doneseno rješenje da nije potrebna procjena uticaja na  životne sredinu </w:t>
      </w:r>
      <w:r w:rsidR="000769D7" w:rsidRPr="00FC7A12">
        <w:rPr>
          <w:color w:val="000000"/>
        </w:rPr>
        <w:t>-</w:t>
      </w:r>
      <w:r w:rsidR="000769D7" w:rsidRPr="00FC7A12">
        <w:rPr>
          <w:b/>
          <w:color w:val="000000"/>
        </w:rPr>
        <w:t>ukupno: 8</w:t>
      </w:r>
    </w:p>
    <w:p w:rsidR="00B40255" w:rsidRPr="00FC7A12" w:rsidRDefault="00B40255" w:rsidP="00570B2F">
      <w:pPr>
        <w:pStyle w:val="ListParagraph"/>
        <w:numPr>
          <w:ilvl w:val="0"/>
          <w:numId w:val="9"/>
        </w:numPr>
        <w:jc w:val="both"/>
        <w:rPr>
          <w:color w:val="000000"/>
        </w:rPr>
      </w:pPr>
      <w:r w:rsidRPr="00FC7A12">
        <w:rPr>
          <w:color w:val="000000"/>
        </w:rPr>
        <w:lastRenderedPageBreak/>
        <w:t xml:space="preserve">Doneseno rješenja i zaključaka o odbacivanju, odbijanju  zahtjeva i obustavljanju postupka  iz oblasti zaštite životne sredine  </w:t>
      </w:r>
      <w:r w:rsidR="000769D7" w:rsidRPr="00FC7A12">
        <w:rPr>
          <w:color w:val="000000"/>
        </w:rPr>
        <w:t xml:space="preserve">- </w:t>
      </w:r>
      <w:r w:rsidR="000769D7" w:rsidRPr="00FC7A12">
        <w:rPr>
          <w:b/>
          <w:color w:val="000000"/>
        </w:rPr>
        <w:t>ukupno: 2</w:t>
      </w:r>
    </w:p>
    <w:p w:rsidR="00B40255" w:rsidRPr="00FC7A12" w:rsidRDefault="000769D7" w:rsidP="00570B2F">
      <w:pPr>
        <w:pStyle w:val="ListParagraph"/>
        <w:numPr>
          <w:ilvl w:val="0"/>
          <w:numId w:val="9"/>
        </w:numPr>
        <w:jc w:val="both"/>
        <w:rPr>
          <w:color w:val="000000"/>
        </w:rPr>
      </w:pPr>
      <w:r w:rsidRPr="00FC7A12">
        <w:rPr>
          <w:color w:val="000000"/>
        </w:rPr>
        <w:t xml:space="preserve">Doneseno rješenje </w:t>
      </w:r>
      <w:r w:rsidR="00B40255" w:rsidRPr="00FC7A12">
        <w:rPr>
          <w:color w:val="000000"/>
        </w:rPr>
        <w:t xml:space="preserve">  o saglasnosti na elaborat zaštite životne sredine  </w:t>
      </w:r>
      <w:r w:rsidRPr="00FC7A12">
        <w:rPr>
          <w:color w:val="000000"/>
        </w:rPr>
        <w:t xml:space="preserve">- </w:t>
      </w:r>
      <w:r w:rsidR="00B40255" w:rsidRPr="00FC7A12">
        <w:rPr>
          <w:b/>
          <w:color w:val="000000"/>
        </w:rPr>
        <w:t>u</w:t>
      </w:r>
      <w:r w:rsidRPr="00FC7A12">
        <w:rPr>
          <w:b/>
          <w:color w:val="000000"/>
        </w:rPr>
        <w:t>kupno:4</w:t>
      </w:r>
    </w:p>
    <w:p w:rsidR="000769D7" w:rsidRPr="00FC7A12" w:rsidRDefault="000769D7" w:rsidP="00570B2F">
      <w:pPr>
        <w:pStyle w:val="ListParagraph"/>
        <w:numPr>
          <w:ilvl w:val="0"/>
          <w:numId w:val="9"/>
        </w:numPr>
        <w:jc w:val="both"/>
        <w:rPr>
          <w:color w:val="000000"/>
        </w:rPr>
      </w:pPr>
      <w:r w:rsidRPr="00FC7A12">
        <w:rPr>
          <w:color w:val="000000"/>
        </w:rPr>
        <w:t>Postupci u toku za izdavanje rješenja  o saglasnosti na elaborat zaštite životne sredine</w:t>
      </w:r>
      <w:r w:rsidRPr="00FC7A12">
        <w:rPr>
          <w:b/>
          <w:color w:val="000000"/>
        </w:rPr>
        <w:t xml:space="preserve">-ukupno 4  </w:t>
      </w:r>
    </w:p>
    <w:p w:rsidR="005B2EDB" w:rsidRPr="00FC7A12" w:rsidRDefault="005B2EDB" w:rsidP="00570B2F">
      <w:pPr>
        <w:pStyle w:val="ListParagraph"/>
        <w:numPr>
          <w:ilvl w:val="0"/>
          <w:numId w:val="9"/>
        </w:numPr>
        <w:jc w:val="both"/>
        <w:rPr>
          <w:color w:val="000000"/>
        </w:rPr>
      </w:pPr>
      <w:r w:rsidRPr="00FC7A12">
        <w:rPr>
          <w:color w:val="000000"/>
        </w:rPr>
        <w:t>Postupak po zahtjevu za iseljenje u toku</w:t>
      </w:r>
      <w:r w:rsidRPr="00FC7A12">
        <w:rPr>
          <w:b/>
          <w:color w:val="000000"/>
        </w:rPr>
        <w:t>-ukupno 5</w:t>
      </w:r>
    </w:p>
    <w:p w:rsidR="000769D7" w:rsidRPr="00FC7A12" w:rsidRDefault="00B40255" w:rsidP="00570B2F">
      <w:pPr>
        <w:pStyle w:val="ListParagraph"/>
        <w:numPr>
          <w:ilvl w:val="0"/>
          <w:numId w:val="9"/>
        </w:numPr>
        <w:jc w:val="both"/>
        <w:rPr>
          <w:color w:val="000000"/>
        </w:rPr>
      </w:pPr>
      <w:r w:rsidRPr="00FC7A12">
        <w:rPr>
          <w:color w:val="000000"/>
        </w:rPr>
        <w:t>Učestvovanje u sprovodjenju prinudnih  izvršenja  izvršnih  rješenja organa lokalne uprave – reklamni panoi, svjetleće reklam</w:t>
      </w:r>
      <w:r w:rsidR="000769D7" w:rsidRPr="00FC7A12">
        <w:rPr>
          <w:color w:val="000000"/>
        </w:rPr>
        <w:t xml:space="preserve">e, bilbordi- </w:t>
      </w:r>
      <w:r w:rsidR="005B2EDB" w:rsidRPr="00FC7A12">
        <w:rPr>
          <w:b/>
          <w:color w:val="000000"/>
        </w:rPr>
        <w:t xml:space="preserve">ukupno: </w:t>
      </w:r>
      <w:r w:rsidRPr="00FC7A12">
        <w:rPr>
          <w:b/>
          <w:color w:val="000000"/>
        </w:rPr>
        <w:t xml:space="preserve">4    </w:t>
      </w:r>
    </w:p>
    <w:p w:rsidR="000769D7" w:rsidRPr="00FC7A12" w:rsidRDefault="00B40255" w:rsidP="00570B2F">
      <w:pPr>
        <w:pStyle w:val="ListParagraph"/>
        <w:numPr>
          <w:ilvl w:val="0"/>
          <w:numId w:val="9"/>
        </w:numPr>
        <w:jc w:val="both"/>
        <w:rPr>
          <w:color w:val="000000"/>
        </w:rPr>
      </w:pPr>
      <w:r w:rsidRPr="00FC7A12">
        <w:rPr>
          <w:color w:val="000000"/>
        </w:rPr>
        <w:t>Učestvovanje u sprovodjenju prinudnih  izvršenja  izvršnih  rješenja organa lokalne uprave- privremeni objekti</w:t>
      </w:r>
      <w:r w:rsidR="000769D7" w:rsidRPr="00FC7A12">
        <w:rPr>
          <w:color w:val="000000"/>
        </w:rPr>
        <w:t xml:space="preserve">- </w:t>
      </w:r>
      <w:r w:rsidRPr="00FC7A12">
        <w:rPr>
          <w:b/>
          <w:color w:val="000000"/>
        </w:rPr>
        <w:t>u</w:t>
      </w:r>
      <w:r w:rsidR="000769D7" w:rsidRPr="00FC7A12">
        <w:rPr>
          <w:b/>
          <w:color w:val="000000"/>
        </w:rPr>
        <w:t>kupno: 6</w:t>
      </w:r>
      <w:r w:rsidRPr="00FC7A12">
        <w:rPr>
          <w:b/>
          <w:color w:val="000000"/>
        </w:rPr>
        <w:t xml:space="preserve">                                 </w:t>
      </w:r>
    </w:p>
    <w:p w:rsidR="000769D7" w:rsidRPr="00FC7A12" w:rsidRDefault="00B40255" w:rsidP="00570B2F">
      <w:pPr>
        <w:pStyle w:val="ListParagraph"/>
        <w:numPr>
          <w:ilvl w:val="0"/>
          <w:numId w:val="9"/>
        </w:numPr>
        <w:jc w:val="both"/>
        <w:rPr>
          <w:color w:val="000000"/>
        </w:rPr>
      </w:pPr>
      <w:r w:rsidRPr="00FC7A12">
        <w:rPr>
          <w:color w:val="000000"/>
        </w:rPr>
        <w:t>Učestvovanje u sprovodjenju prinudnih  izvršenja  izvršnih  rješenja organa lokal</w:t>
      </w:r>
      <w:r w:rsidR="000769D7" w:rsidRPr="00FC7A12">
        <w:rPr>
          <w:color w:val="000000"/>
        </w:rPr>
        <w:t xml:space="preserve">ne uprave- izložbene police- </w:t>
      </w:r>
      <w:r w:rsidR="005B2EDB" w:rsidRPr="00FC7A12">
        <w:rPr>
          <w:b/>
          <w:color w:val="000000"/>
        </w:rPr>
        <w:t>ukupno: 4</w:t>
      </w:r>
      <w:r w:rsidRPr="00FC7A12">
        <w:rPr>
          <w:b/>
          <w:color w:val="000000"/>
        </w:rPr>
        <w:t xml:space="preserve">        </w:t>
      </w:r>
    </w:p>
    <w:p w:rsidR="000769D7" w:rsidRPr="00FC7A12" w:rsidRDefault="00B40255" w:rsidP="00570B2F">
      <w:pPr>
        <w:pStyle w:val="ListParagraph"/>
        <w:numPr>
          <w:ilvl w:val="0"/>
          <w:numId w:val="9"/>
        </w:numPr>
        <w:jc w:val="both"/>
        <w:rPr>
          <w:color w:val="000000"/>
        </w:rPr>
      </w:pPr>
      <w:r w:rsidRPr="00FC7A12">
        <w:rPr>
          <w:color w:val="000000"/>
        </w:rPr>
        <w:t>Učestvovanje u sprovodjenju prinudnih  izvršenja  izvršnih  rješenja organa lokalne uprave- terasa, nadstrešnica, tendi i bašta</w:t>
      </w:r>
      <w:r w:rsidR="000769D7" w:rsidRPr="00FC7A12">
        <w:rPr>
          <w:color w:val="000000"/>
        </w:rPr>
        <w:t xml:space="preserve">- </w:t>
      </w:r>
      <w:r w:rsidR="000769D7" w:rsidRPr="00FC7A12">
        <w:rPr>
          <w:b/>
          <w:color w:val="000000"/>
        </w:rPr>
        <w:t>ukupno: 4</w:t>
      </w:r>
      <w:r w:rsidRPr="00FC7A12">
        <w:rPr>
          <w:b/>
          <w:color w:val="000000"/>
        </w:rPr>
        <w:t xml:space="preserve">       </w:t>
      </w:r>
    </w:p>
    <w:p w:rsidR="000769D7" w:rsidRPr="00FC7A12" w:rsidRDefault="00B40255" w:rsidP="00570B2F">
      <w:pPr>
        <w:pStyle w:val="ListParagraph"/>
        <w:numPr>
          <w:ilvl w:val="0"/>
          <w:numId w:val="9"/>
        </w:numPr>
        <w:jc w:val="both"/>
        <w:rPr>
          <w:color w:val="000000"/>
        </w:rPr>
      </w:pPr>
      <w:r w:rsidRPr="00FC7A12">
        <w:rPr>
          <w:color w:val="000000"/>
        </w:rPr>
        <w:t>Učestvovanje u sprovodjenju prinudnih  izvršenja  izvršnih  rješenja organa loka</w:t>
      </w:r>
      <w:r w:rsidR="000769D7" w:rsidRPr="00FC7A12">
        <w:rPr>
          <w:color w:val="000000"/>
        </w:rPr>
        <w:t>lne uprave- žardinjera i ostal</w:t>
      </w:r>
      <w:r w:rsidRPr="00FC7A12">
        <w:rPr>
          <w:color w:val="000000"/>
        </w:rPr>
        <w:t>o</w:t>
      </w:r>
      <w:r w:rsidR="000769D7" w:rsidRPr="00FC7A12">
        <w:rPr>
          <w:color w:val="000000"/>
        </w:rPr>
        <w:t xml:space="preserve">- </w:t>
      </w:r>
      <w:r w:rsidR="000769D7" w:rsidRPr="00FC7A12">
        <w:rPr>
          <w:b/>
          <w:color w:val="000000"/>
        </w:rPr>
        <w:t>ukupno: 5</w:t>
      </w:r>
      <w:r w:rsidRPr="00FC7A12">
        <w:rPr>
          <w:b/>
          <w:color w:val="000000"/>
        </w:rPr>
        <w:t xml:space="preserve">  </w:t>
      </w:r>
    </w:p>
    <w:p w:rsidR="00B40255" w:rsidRPr="00FC7A12" w:rsidRDefault="000769D7" w:rsidP="00570B2F">
      <w:pPr>
        <w:pStyle w:val="ListParagraph"/>
        <w:numPr>
          <w:ilvl w:val="0"/>
          <w:numId w:val="9"/>
        </w:numPr>
        <w:jc w:val="both"/>
        <w:rPr>
          <w:color w:val="000000"/>
        </w:rPr>
      </w:pPr>
      <w:r w:rsidRPr="00FC7A12">
        <w:rPr>
          <w:color w:val="000000"/>
        </w:rPr>
        <w:t>Doneseno uvjerenja o registraciji skupštine etažnih vlasnika –Izvoda iz registra upravnika  stambene zgrade i rješenja -</w:t>
      </w:r>
      <w:r w:rsidRPr="00FC7A12">
        <w:rPr>
          <w:b/>
          <w:color w:val="000000"/>
        </w:rPr>
        <w:t xml:space="preserve">ukupno: 436 </w:t>
      </w:r>
      <w:r w:rsidR="00B40255" w:rsidRPr="00FC7A12">
        <w:rPr>
          <w:b/>
          <w:color w:val="000000"/>
        </w:rPr>
        <w:t xml:space="preserve">                          </w:t>
      </w:r>
    </w:p>
    <w:p w:rsidR="00B40255" w:rsidRPr="00FC7A12" w:rsidRDefault="007855C5" w:rsidP="00E34D60">
      <w:pPr>
        <w:ind w:firstLine="708"/>
        <w:jc w:val="both"/>
        <w:rPr>
          <w:color w:val="000000"/>
        </w:rPr>
      </w:pPr>
      <w:r>
        <w:rPr>
          <w:color w:val="000000"/>
        </w:rPr>
        <w:t>Osim navedenog ovaj s</w:t>
      </w:r>
      <w:r w:rsidR="00B40255" w:rsidRPr="00FC7A12">
        <w:rPr>
          <w:color w:val="000000"/>
        </w:rPr>
        <w:t>ekretarijat radi na spovodjenju  zakonskih  propisa koji regulišu stambenu oblast  u dijel</w:t>
      </w:r>
      <w:r w:rsidR="008420FC" w:rsidRPr="00FC7A12">
        <w:rPr>
          <w:color w:val="000000"/>
        </w:rPr>
        <w:t>u koji se odnosi  na priprema</w:t>
      </w:r>
      <w:r w:rsidR="00B40255" w:rsidRPr="00FC7A12">
        <w:rPr>
          <w:color w:val="000000"/>
        </w:rPr>
        <w:t>nje mater</w:t>
      </w:r>
      <w:r w:rsidR="008420FC" w:rsidRPr="00FC7A12">
        <w:rPr>
          <w:color w:val="000000"/>
        </w:rPr>
        <w:t>ijala za organizovanje  i rad  s</w:t>
      </w:r>
      <w:r w:rsidR="00B40255" w:rsidRPr="00FC7A12">
        <w:rPr>
          <w:color w:val="000000"/>
        </w:rPr>
        <w:t>kup</w:t>
      </w:r>
      <w:r w:rsidR="008420FC" w:rsidRPr="00FC7A12">
        <w:rPr>
          <w:color w:val="000000"/>
        </w:rPr>
        <w:t>štine stanara zgrada</w:t>
      </w:r>
      <w:r w:rsidR="00B40255" w:rsidRPr="00FC7A12">
        <w:rPr>
          <w:color w:val="000000"/>
        </w:rPr>
        <w:t>, tumačenje  zakonskih odredbi koje se odnose na način, organizovanje i rad upravljanja formiranih organa u zgradama i dr</w:t>
      </w:r>
      <w:r w:rsidR="007675C7" w:rsidRPr="00FC7A12">
        <w:rPr>
          <w:color w:val="000000"/>
        </w:rPr>
        <w:t>ugih pitanja iz stambene odnosa</w:t>
      </w:r>
      <w:r w:rsidR="00B40255" w:rsidRPr="00FC7A12">
        <w:rPr>
          <w:color w:val="000000"/>
        </w:rPr>
        <w:t xml:space="preserve">. </w:t>
      </w:r>
    </w:p>
    <w:p w:rsidR="00B40255" w:rsidRPr="00FC7A12" w:rsidRDefault="00B40255" w:rsidP="00E34D60">
      <w:pPr>
        <w:ind w:firstLine="708"/>
        <w:jc w:val="both"/>
        <w:rPr>
          <w:color w:val="000000"/>
        </w:rPr>
      </w:pPr>
      <w:r w:rsidRPr="00FC7A12">
        <w:rPr>
          <w:color w:val="000000"/>
        </w:rPr>
        <w:t xml:space="preserve">Upoređivanjem podnesenih zahtjeva odnosno </w:t>
      </w:r>
      <w:r w:rsidR="007675C7" w:rsidRPr="00FC7A12">
        <w:t>akata 1573</w:t>
      </w:r>
      <w:r w:rsidRPr="00FC7A12">
        <w:t xml:space="preserve"> i o</w:t>
      </w:r>
      <w:r w:rsidR="007675C7" w:rsidRPr="00FC7A12">
        <w:t>brađenih i  izdatih akata 1352</w:t>
      </w:r>
      <w:r w:rsidRPr="00FC7A12">
        <w:rPr>
          <w:b/>
        </w:rPr>
        <w:t xml:space="preserve"> </w:t>
      </w:r>
      <w:r w:rsidRPr="00FC7A12">
        <w:t>m</w:t>
      </w:r>
      <w:r w:rsidR="007855C5">
        <w:t>ože se konstatovati da je ovaj s</w:t>
      </w:r>
      <w:r w:rsidRPr="00FC7A12">
        <w:t>ekretarijat u izvještajnom periodu na zadovoljavajući način obavljao poslove iz svoje naldežnosti, jer je mnogo manji broj neriješenih predmeta  i nepostupanja po podnesenim zahtjevima i isti se odnose na one zahtjeve i predmeta za koje podnosioci zahtjeva nijesu pokazali zainteresovanost,</w:t>
      </w:r>
      <w:r w:rsidR="007675C7" w:rsidRPr="00FC7A12">
        <w:t xml:space="preserve"> </w:t>
      </w:r>
      <w:r w:rsidRPr="00FC7A12">
        <w:t>odnosno koji su nepotpuni</w:t>
      </w:r>
      <w:r w:rsidR="007675C7" w:rsidRPr="00FC7A12">
        <w:t xml:space="preserve"> </w:t>
      </w:r>
      <w:r w:rsidRPr="00FC7A12">
        <w:rPr>
          <w:color w:val="000000"/>
        </w:rPr>
        <w:t>(sa pogrešnim ili nepotpunum i nejasnim adresama) i isti su  u toku.</w:t>
      </w:r>
    </w:p>
    <w:p w:rsidR="002E24DD" w:rsidRPr="00FC7A12" w:rsidRDefault="002E24DD" w:rsidP="00E34D60">
      <w:pPr>
        <w:jc w:val="both"/>
        <w:rPr>
          <w:color w:val="000000" w:themeColor="text1"/>
        </w:rPr>
      </w:pPr>
    </w:p>
    <w:p w:rsidR="00943223" w:rsidRPr="00FC7A12" w:rsidRDefault="00943223" w:rsidP="00E34D60">
      <w:pPr>
        <w:ind w:firstLine="708"/>
        <w:jc w:val="both"/>
        <w:rPr>
          <w:color w:val="000000"/>
        </w:rPr>
      </w:pPr>
    </w:p>
    <w:p w:rsidR="007675C7" w:rsidRPr="00FC7A12" w:rsidRDefault="007675C7" w:rsidP="00E34D60">
      <w:pPr>
        <w:ind w:firstLine="708"/>
        <w:jc w:val="both"/>
        <w:rPr>
          <w:color w:val="000000"/>
        </w:rPr>
      </w:pPr>
    </w:p>
    <w:p w:rsidR="003567DF" w:rsidRPr="00FC7A12" w:rsidRDefault="009203DB" w:rsidP="00E34D60">
      <w:pPr>
        <w:jc w:val="center"/>
      </w:pPr>
      <w:r w:rsidRPr="00FC7A12">
        <w:t>*</w:t>
      </w:r>
    </w:p>
    <w:p w:rsidR="009203DB" w:rsidRPr="00FC7A12" w:rsidRDefault="009203DB" w:rsidP="00E34D60">
      <w:pPr>
        <w:jc w:val="center"/>
      </w:pPr>
    </w:p>
    <w:p w:rsidR="009203DB" w:rsidRPr="00FC7A12" w:rsidRDefault="009203DB" w:rsidP="00E34D60">
      <w:r w:rsidRPr="00FC7A12">
        <w:t xml:space="preserve">    </w:t>
      </w:r>
      <w:r w:rsidRPr="00FC7A12">
        <w:tab/>
        <w:t xml:space="preserve"> </w:t>
      </w:r>
      <w:r w:rsidRPr="00FC7A12">
        <w:rPr>
          <w:b/>
        </w:rPr>
        <w:t>Služba glavnog gradskog arhitekte</w:t>
      </w:r>
      <w:r w:rsidRPr="00FC7A12">
        <w:t xml:space="preserve"> formirana je u januaru mjesecu 2018. </w:t>
      </w:r>
      <w:r w:rsidR="00DF6FF7" w:rsidRPr="00FC7A12">
        <w:t>g</w:t>
      </w:r>
      <w:r w:rsidRPr="00FC7A12">
        <w:t>odi</w:t>
      </w:r>
      <w:r w:rsidR="00DF6FF7" w:rsidRPr="00FC7A12">
        <w:t>ne i</w:t>
      </w:r>
    </w:p>
    <w:p w:rsidR="009203DB" w:rsidRPr="00FC7A12" w:rsidRDefault="00DF6FF7" w:rsidP="00E34D60">
      <w:pPr>
        <w:jc w:val="both"/>
      </w:pPr>
      <w:r w:rsidRPr="00FC7A12">
        <w:t xml:space="preserve"> o</w:t>
      </w:r>
      <w:r w:rsidR="009203DB" w:rsidRPr="00FC7A12">
        <w:t>rganizovana je  kao jedinstvena organizaciona cjelina</w:t>
      </w:r>
      <w:r w:rsidRPr="00FC7A12">
        <w:t>.</w:t>
      </w:r>
      <w:r w:rsidR="009203DB" w:rsidRPr="00FC7A12">
        <w:t xml:space="preserve"> </w:t>
      </w:r>
    </w:p>
    <w:p w:rsidR="00EB495E" w:rsidRPr="00FC7A12" w:rsidRDefault="00EB495E" w:rsidP="00EB495E">
      <w:pPr>
        <w:ind w:firstLine="708"/>
        <w:jc w:val="both"/>
      </w:pPr>
      <w:r w:rsidRPr="00FC7A12">
        <w:rPr>
          <w:rStyle w:val="SubtleEmphasis"/>
          <w:i w:val="0"/>
        </w:rPr>
        <w:t>Zakonom  o planiranju prostora i izgradnji objekata („Službeni  list Crne Gore“ broj 64/17, 044/18, 063/18, 011/19, 082/20)</w:t>
      </w:r>
      <w:r w:rsidRPr="00FC7A12">
        <w:rPr>
          <w:rStyle w:val="SubtleEmphasis"/>
        </w:rPr>
        <w:t xml:space="preserve">, </w:t>
      </w:r>
      <w:r w:rsidR="007855C5">
        <w:t>članom 88</w:t>
      </w:r>
      <w:r w:rsidRPr="00FC7A12">
        <w:t xml:space="preserve"> propisano je da poslovi glavnog državnog arhitekte iz člana 87 stav 4 tačka 1 ovog zakona koji se odnose na zgrade do 3000 m2 bruto građevinske površine, izuzev hotela odnosno turističkog naselja sa četiri ili pet zvjezdica i turističkog rizorta, kao i poslovi iz člana 87 stav 4 tač. 2, 3, 5 i 6 prenose se na jedinicu lokalne.</w:t>
      </w:r>
    </w:p>
    <w:p w:rsidR="009203DB" w:rsidRPr="00FC7A12" w:rsidRDefault="009203DB" w:rsidP="00EB495E">
      <w:pPr>
        <w:jc w:val="both"/>
      </w:pPr>
      <w:r w:rsidRPr="00FC7A12">
        <w:t>Služba glavnog gradskog arhitekte vrši poslove koji se odnose na: izradu politika, strategija, projekata i programa u cilju unapređenja kvaliteta i kulture prostornog i arhitektonskog oblikovanja i stvaranja viso</w:t>
      </w:r>
      <w:r w:rsidR="00EB495E" w:rsidRPr="00FC7A12">
        <w:t>kovrijednog izgrađenog prostora</w:t>
      </w:r>
      <w:r w:rsidRPr="00FC7A12">
        <w:t>; donošenje rješenja o usklađenosti objekta sa smjernicama za usklađivanje spoljno</w:t>
      </w:r>
      <w:r w:rsidR="00DF6FF7" w:rsidRPr="00FC7A12">
        <w:t>g izgleda iz planskog dokumenta</w:t>
      </w:r>
      <w:r w:rsidRPr="00FC7A12">
        <w:t>; davanje saglasnost na idejno rješenje zgrade, trga i ostalih javnih prostora u naseljima; provjeravanje usaglašenosti idejnog rješ</w:t>
      </w:r>
      <w:r w:rsidR="00EB495E" w:rsidRPr="00FC7A12">
        <w:t>enja sa urbanističkim projektom</w:t>
      </w:r>
      <w:r w:rsidRPr="00FC7A12">
        <w:t xml:space="preserve">; propisivanje smjernica za usklađivanje spoljnog izgleda bespravnih objekata;  davanje saglasnosti u pogledu izgleda privremenog objekta; </w:t>
      </w:r>
      <w:r w:rsidRPr="00FC7A12">
        <w:lastRenderedPageBreak/>
        <w:t>izrađivanje projektnog zadatka za urbanistički projekat</w:t>
      </w:r>
      <w:r w:rsidR="00EB495E" w:rsidRPr="00FC7A12">
        <w:t>; dostavljanje idejnog rješenja</w:t>
      </w:r>
      <w:r w:rsidRPr="00FC7A12">
        <w:t>, zahtjeva investitora i saglasnosti glavnom državnom arhitekti u skladu sa zakonom...</w:t>
      </w:r>
    </w:p>
    <w:p w:rsidR="005E37BD" w:rsidRPr="00FC7A12" w:rsidRDefault="005E37BD" w:rsidP="005E37BD">
      <w:pPr>
        <w:ind w:firstLine="708"/>
        <w:jc w:val="both"/>
        <w:rPr>
          <w:rStyle w:val="SubtleEmphasis"/>
          <w:iCs w:val="0"/>
        </w:rPr>
      </w:pPr>
      <w:r w:rsidRPr="00FC7A12">
        <w:t>Sporazumom o saradnji između opština Nikšić i Šavnik u dijelu nadležnosti obavljanja poslova Glavnog gradskog arhitekte br. 02-031-2807 od 27.08.2018.godine,</w:t>
      </w:r>
      <w:bookmarkStart w:id="6" w:name="_Hlk29989336"/>
      <w:r w:rsidRPr="00FC7A12">
        <w:t xml:space="preserve"> Sporazumom o saradnji između opština Nikšić i Plužine u dijelu nadležnosti obavljanja poslova glavnog gradskog arhitekte 02-031-149 od 08.02.02019. godine, a zavedenog u Opštini Plužine pod brojem 01-93 od 08.02.2019. godine</w:t>
      </w:r>
      <w:bookmarkEnd w:id="6"/>
      <w:r w:rsidRPr="00FC7A12">
        <w:t xml:space="preserve"> i </w:t>
      </w:r>
      <w:r w:rsidRPr="00FC7A12">
        <w:rPr>
          <w:rStyle w:val="SubtleEmphasis"/>
        </w:rPr>
        <w:t>Sporazumom o saradnji između Opštine Žabljak i Opštine Nikšić, br. 031/18-01-892 od 26.04.2018. godine,  određeno je da poslove glavnog gradskog arhitekte  obavlja glavni gradski arhitekta Opštine Nikšić.</w:t>
      </w:r>
    </w:p>
    <w:p w:rsidR="009203DB" w:rsidRPr="00FC7A12" w:rsidRDefault="009203DB" w:rsidP="00E34D60">
      <w:pPr>
        <w:jc w:val="both"/>
      </w:pPr>
      <w:r w:rsidRPr="00FC7A12">
        <w:tab/>
        <w:t xml:space="preserve">U periodu od </w:t>
      </w:r>
      <w:r w:rsidR="008420FC" w:rsidRPr="00FC7A12">
        <w:t>januara</w:t>
      </w:r>
      <w:r w:rsidR="005E37BD" w:rsidRPr="00FC7A12">
        <w:t xml:space="preserve"> 2020</w:t>
      </w:r>
      <w:r w:rsidRPr="00FC7A12">
        <w:t>. godine do 01.</w:t>
      </w:r>
      <w:r w:rsidR="005E37BD" w:rsidRPr="00FC7A12">
        <w:t>01.2021</w:t>
      </w:r>
      <w:r w:rsidRPr="00FC7A12">
        <w:t>. godine prema Službi glavnog gradskog a</w:t>
      </w:r>
      <w:r w:rsidR="00B40255" w:rsidRPr="00FC7A12">
        <w:t xml:space="preserve">rhitekte podneseno je </w:t>
      </w:r>
      <w:r w:rsidR="005E37BD" w:rsidRPr="00FC7A12">
        <w:t xml:space="preserve">ukupno </w:t>
      </w:r>
      <w:r w:rsidR="005E37BD" w:rsidRPr="00FC7A12">
        <w:rPr>
          <w:b/>
        </w:rPr>
        <w:t>283</w:t>
      </w:r>
      <w:r w:rsidRPr="00FC7A12">
        <w:t xml:space="preserve"> zahtjeva odnosno akata -podneska  za obradu. </w:t>
      </w:r>
    </w:p>
    <w:p w:rsidR="00DF6FF7" w:rsidRPr="00FC7A12" w:rsidRDefault="009203DB" w:rsidP="00E34D60">
      <w:pPr>
        <w:ind w:firstLine="708"/>
        <w:jc w:val="both"/>
      </w:pPr>
      <w:r w:rsidRPr="00FC7A12">
        <w:t xml:space="preserve">Upoređivanjem podnesenih zahjeva odnosno </w:t>
      </w:r>
      <w:r w:rsidR="005E37BD" w:rsidRPr="00FC7A12">
        <w:t>akata ( 283</w:t>
      </w:r>
      <w:r w:rsidR="00DF6FF7" w:rsidRPr="00FC7A12">
        <w:t>) i obrađenih i izdatih akata</w:t>
      </w:r>
    </w:p>
    <w:p w:rsidR="009203DB" w:rsidRPr="00FC7A12" w:rsidRDefault="005E37BD" w:rsidP="005E37BD">
      <w:pPr>
        <w:jc w:val="both"/>
      </w:pPr>
      <w:r w:rsidRPr="00FC7A12">
        <w:t>(281</w:t>
      </w:r>
      <w:r w:rsidR="009203DB" w:rsidRPr="00FC7A12">
        <w:t xml:space="preserve">) </w:t>
      </w:r>
      <w:r w:rsidR="007855C5">
        <w:t>moze se konstatovati da je ova s</w:t>
      </w:r>
      <w:r w:rsidR="009203DB" w:rsidRPr="00FC7A12">
        <w:t xml:space="preserve">lužba u izvještajnom periodu na zadovoljavajući način obavljala poslove iz svoje nadležnosti, jer je </w:t>
      </w:r>
      <w:r w:rsidR="00447DB0" w:rsidRPr="00FC7A12">
        <w:t xml:space="preserve">mali procenat </w:t>
      </w:r>
      <w:r w:rsidR="009203DB" w:rsidRPr="00FC7A12">
        <w:t>ner</w:t>
      </w:r>
      <w:r w:rsidR="007855C5">
        <w:t>i</w:t>
      </w:r>
      <w:r w:rsidR="009203DB" w:rsidRPr="00FC7A12">
        <w:t>ešenih predmeta i nepostupanja po podnesenim zahtjevima i isti se odnose na one zahtjeve</w:t>
      </w:r>
      <w:r w:rsidR="00B40255" w:rsidRPr="00FC7A12">
        <w:t xml:space="preserve"> i predmete koji su nepotpuni (</w:t>
      </w:r>
      <w:r w:rsidR="009203DB" w:rsidRPr="00FC7A12">
        <w:t>sa pogrešnim i nepotpuni</w:t>
      </w:r>
      <w:r w:rsidR="00B40255" w:rsidRPr="00FC7A12">
        <w:t>m adresama ) i isti su  u toku.</w:t>
      </w:r>
    </w:p>
    <w:p w:rsidR="001E0992" w:rsidRPr="00FC7A12" w:rsidRDefault="001E0992" w:rsidP="00E34D60"/>
    <w:p w:rsidR="001E0992" w:rsidRPr="00FC7A12" w:rsidRDefault="001E0992" w:rsidP="00E34D60">
      <w:pPr>
        <w:jc w:val="center"/>
        <w:rPr>
          <w:b/>
        </w:rPr>
      </w:pPr>
      <w:r w:rsidRPr="00FC7A12">
        <w:t>*</w:t>
      </w:r>
    </w:p>
    <w:p w:rsidR="001E0992" w:rsidRPr="00FC7A12" w:rsidRDefault="001E0992" w:rsidP="00E34D60">
      <w:pPr>
        <w:jc w:val="both"/>
      </w:pPr>
    </w:p>
    <w:p w:rsidR="00767E8F" w:rsidRPr="00FC7A12" w:rsidRDefault="001E0992" w:rsidP="00E34D60">
      <w:pPr>
        <w:jc w:val="both"/>
      </w:pPr>
      <w:r w:rsidRPr="00FC7A12">
        <w:t xml:space="preserve">    </w:t>
      </w:r>
      <w:r w:rsidRPr="00FC7A12">
        <w:tab/>
        <w:t xml:space="preserve">Rad </w:t>
      </w:r>
      <w:r w:rsidRPr="00FC7A12">
        <w:rPr>
          <w:b/>
          <w:bCs/>
        </w:rPr>
        <w:t xml:space="preserve">Sekretarijata za komunalne poslove i saobraćaj </w:t>
      </w:r>
      <w:r w:rsidRPr="00FC7A12">
        <w:t>odvijao se  u s</w:t>
      </w:r>
      <w:r w:rsidR="00767E8F" w:rsidRPr="00FC7A12">
        <w:t xml:space="preserve">kladu sa </w:t>
      </w:r>
      <w:r w:rsidR="005E37BD" w:rsidRPr="00FC7A12">
        <w:t>Programom rada  za 2020</w:t>
      </w:r>
      <w:r w:rsidR="001019BA" w:rsidRPr="00FC7A12">
        <w:t xml:space="preserve">. godinu. </w:t>
      </w:r>
    </w:p>
    <w:p w:rsidR="001E0992" w:rsidRPr="00FC7A12" w:rsidRDefault="00BC61F4" w:rsidP="00E34D60">
      <w:pPr>
        <w:ind w:firstLine="708"/>
        <w:jc w:val="both"/>
      </w:pPr>
      <w:r w:rsidRPr="00FC7A12">
        <w:t>Ovaj s</w:t>
      </w:r>
      <w:r w:rsidR="001E0992" w:rsidRPr="00FC7A12">
        <w:t>ekreta</w:t>
      </w:r>
      <w:r w:rsidR="007E2EF4" w:rsidRPr="00FC7A12">
        <w:t xml:space="preserve">rijat </w:t>
      </w:r>
      <w:r w:rsidR="001E0992" w:rsidRPr="00FC7A12">
        <w:t>je obavljao poslove kojima se obezbjeđuje izvršavanje zakona, drugih propisa i opštih akata kroz:</w:t>
      </w:r>
    </w:p>
    <w:p w:rsidR="00A81F93" w:rsidRPr="00FC7A12" w:rsidRDefault="00A81F93" w:rsidP="00E34D60">
      <w:pPr>
        <w:ind w:firstLine="708"/>
        <w:jc w:val="both"/>
      </w:pPr>
    </w:p>
    <w:p w:rsidR="001E0992" w:rsidRPr="00FC7A12" w:rsidRDefault="001E0992" w:rsidP="00E34D60">
      <w:pPr>
        <w:pStyle w:val="Heading7"/>
        <w:numPr>
          <w:ilvl w:val="0"/>
          <w:numId w:val="5"/>
        </w:numPr>
        <w:spacing w:before="0"/>
        <w:rPr>
          <w:rFonts w:ascii="Times New Roman" w:hAnsi="Times New Roman" w:cs="Times New Roman"/>
          <w:i w:val="0"/>
          <w:color w:val="000000" w:themeColor="text1"/>
        </w:rPr>
      </w:pPr>
      <w:r w:rsidRPr="00FC7A12">
        <w:rPr>
          <w:rFonts w:ascii="Times New Roman" w:hAnsi="Times New Roman" w:cs="Times New Roman"/>
          <w:i w:val="0"/>
          <w:color w:val="000000" w:themeColor="text1"/>
        </w:rPr>
        <w:t>pripremanje propisa iz komunalne oblasti i saobraćaja</w:t>
      </w:r>
    </w:p>
    <w:p w:rsidR="001E0992" w:rsidRPr="00FC7A12" w:rsidRDefault="001E0992" w:rsidP="00E34D60">
      <w:pPr>
        <w:pStyle w:val="Heading7"/>
        <w:numPr>
          <w:ilvl w:val="0"/>
          <w:numId w:val="5"/>
        </w:numPr>
        <w:spacing w:before="0"/>
        <w:rPr>
          <w:rFonts w:ascii="Times New Roman" w:hAnsi="Times New Roman" w:cs="Times New Roman"/>
          <w:i w:val="0"/>
          <w:color w:val="000000" w:themeColor="text1"/>
        </w:rPr>
      </w:pPr>
      <w:r w:rsidRPr="00FC7A12">
        <w:rPr>
          <w:rFonts w:ascii="Times New Roman" w:hAnsi="Times New Roman" w:cs="Times New Roman"/>
          <w:i w:val="0"/>
          <w:color w:val="000000" w:themeColor="text1"/>
        </w:rPr>
        <w:t>vođenje prvostepenog upravnog postupka iz oblasti komunalnih poslova i saobraćaja</w:t>
      </w:r>
    </w:p>
    <w:p w:rsidR="001E0992" w:rsidRPr="00FC7A12" w:rsidRDefault="001E0992" w:rsidP="00E34D60">
      <w:pPr>
        <w:pStyle w:val="Heading7"/>
        <w:numPr>
          <w:ilvl w:val="0"/>
          <w:numId w:val="5"/>
        </w:numPr>
        <w:spacing w:before="0"/>
        <w:rPr>
          <w:rFonts w:ascii="Times New Roman" w:hAnsi="Times New Roman" w:cs="Times New Roman"/>
          <w:i w:val="0"/>
          <w:color w:val="000000" w:themeColor="text1"/>
        </w:rPr>
      </w:pPr>
      <w:r w:rsidRPr="00FC7A12">
        <w:rPr>
          <w:rFonts w:ascii="Times New Roman" w:hAnsi="Times New Roman" w:cs="Times New Roman"/>
          <w:i w:val="0"/>
          <w:color w:val="000000" w:themeColor="text1"/>
        </w:rPr>
        <w:t>vođenje upravnog nadzora nad radom javnih preduzeća osnovanim za obavljanje poslova komunalne djelatnosti</w:t>
      </w:r>
    </w:p>
    <w:p w:rsidR="00A81F93" w:rsidRPr="00FC7A12" w:rsidRDefault="001E0992" w:rsidP="00E34D60">
      <w:pPr>
        <w:pStyle w:val="Heading7"/>
        <w:numPr>
          <w:ilvl w:val="0"/>
          <w:numId w:val="5"/>
        </w:numPr>
        <w:spacing w:before="0"/>
        <w:rPr>
          <w:rFonts w:ascii="Times New Roman" w:hAnsi="Times New Roman" w:cs="Times New Roman"/>
          <w:i w:val="0"/>
          <w:color w:val="000000" w:themeColor="text1"/>
        </w:rPr>
      </w:pPr>
      <w:r w:rsidRPr="00FC7A12">
        <w:rPr>
          <w:rFonts w:ascii="Times New Roman" w:hAnsi="Times New Roman" w:cs="Times New Roman"/>
          <w:i w:val="0"/>
          <w:color w:val="000000" w:themeColor="text1"/>
        </w:rPr>
        <w:t>vršenje nadzora nad zakonitošću akata javnih preduzeća iz komunalne oblasti.</w:t>
      </w:r>
    </w:p>
    <w:p w:rsidR="000C0133" w:rsidRPr="00FC7A12" w:rsidRDefault="000C0133" w:rsidP="00E34D60"/>
    <w:p w:rsidR="000B2C66" w:rsidRPr="00FC7A12" w:rsidRDefault="000B2C66" w:rsidP="00E34D60">
      <w:pPr>
        <w:ind w:firstLine="708"/>
        <w:jc w:val="both"/>
      </w:pPr>
      <w:r w:rsidRPr="00FC7A12">
        <w:t>Sekretarijat za komunalne poslove i saobraćaj je pratio radove javnih preduzeća na redovnom održavanju komunalnih objekata, a koji se odnose na:</w:t>
      </w:r>
    </w:p>
    <w:p w:rsidR="000B2C66" w:rsidRPr="00FC7A12" w:rsidRDefault="000B2C66" w:rsidP="00570B2F">
      <w:pPr>
        <w:pStyle w:val="ListParagraph"/>
        <w:numPr>
          <w:ilvl w:val="0"/>
          <w:numId w:val="10"/>
        </w:numPr>
        <w:jc w:val="both"/>
      </w:pPr>
      <w:r w:rsidRPr="00FC7A12">
        <w:t>održavanje opštinskih i nekategorisanih puteva u opštoj upotrebi (održavanje horizontalne, vertikalne i svjetlosne signalizacije, postavljanje nove signalizacije u skladu sa važećim odlukama, sanaciju prekopa, sanaciju udarnih rupa, sanaciju makadamskih puteva, zimsko održavanje opštinskih i nekategorisanih puteva u opštoj upotrebi i dr.)</w:t>
      </w:r>
    </w:p>
    <w:p w:rsidR="000B2C66" w:rsidRPr="00FC7A12" w:rsidRDefault="000B2C66" w:rsidP="00570B2F">
      <w:pPr>
        <w:pStyle w:val="ListParagraph"/>
        <w:numPr>
          <w:ilvl w:val="0"/>
          <w:numId w:val="10"/>
        </w:numPr>
        <w:jc w:val="both"/>
      </w:pPr>
      <w:r w:rsidRPr="00FC7A12">
        <w:t>održavanje i izgradnju sekundarne mreže atmosferske i fekalne kanalizacije</w:t>
      </w:r>
    </w:p>
    <w:p w:rsidR="000B2C66" w:rsidRPr="00FC7A12" w:rsidRDefault="000B2C66" w:rsidP="00570B2F">
      <w:pPr>
        <w:pStyle w:val="ListParagraph"/>
        <w:numPr>
          <w:ilvl w:val="0"/>
          <w:numId w:val="10"/>
        </w:numPr>
        <w:jc w:val="both"/>
      </w:pPr>
      <w:r w:rsidRPr="00FC7A12">
        <w:t>održavanje javne rasvjete</w:t>
      </w:r>
    </w:p>
    <w:p w:rsidR="000B2C66" w:rsidRPr="00FC7A12" w:rsidRDefault="000B2C66" w:rsidP="00570B2F">
      <w:pPr>
        <w:pStyle w:val="ListParagraph"/>
        <w:numPr>
          <w:ilvl w:val="0"/>
          <w:numId w:val="10"/>
        </w:numPr>
        <w:jc w:val="both"/>
      </w:pPr>
      <w:r w:rsidRPr="00FC7A12">
        <w:t>održavanje čistoće, sakupljanje i deponovanje komunalnog otpada</w:t>
      </w:r>
    </w:p>
    <w:p w:rsidR="000B2C66" w:rsidRPr="00FC7A12" w:rsidRDefault="000B2C66" w:rsidP="00570B2F">
      <w:pPr>
        <w:pStyle w:val="ListParagraph"/>
        <w:numPr>
          <w:ilvl w:val="0"/>
          <w:numId w:val="10"/>
        </w:numPr>
        <w:jc w:val="both"/>
      </w:pPr>
      <w:r w:rsidRPr="00FC7A12">
        <w:t>održavanje parkova i drugih javnih zelenih i rekreacionih površina.</w:t>
      </w:r>
    </w:p>
    <w:p w:rsidR="000B2C66" w:rsidRPr="00FC7A12" w:rsidRDefault="005E37BD" w:rsidP="00E34D60">
      <w:pPr>
        <w:ind w:firstLine="708"/>
        <w:jc w:val="both"/>
      </w:pPr>
      <w:r w:rsidRPr="00FC7A12">
        <w:t>U toku 2020</w:t>
      </w:r>
      <w:r w:rsidR="000B2C66" w:rsidRPr="00FC7A12">
        <w:t>. godine Sekretarijatu za komunalne posl</w:t>
      </w:r>
      <w:r w:rsidRPr="00FC7A12">
        <w:t>ove i saobraćaj je podneseno 255</w:t>
      </w:r>
      <w:r w:rsidR="000B2C66" w:rsidRPr="00FC7A12">
        <w:t xml:space="preserve"> zahtjeva koji se</w:t>
      </w:r>
      <w:r w:rsidRPr="00FC7A12">
        <w:t xml:space="preserve"> odnose na upravni postupak, 218</w:t>
      </w:r>
      <w:r w:rsidR="000B2C66" w:rsidRPr="00FC7A12">
        <w:t xml:space="preserve"> zahtjeva građana za rješavan</w:t>
      </w:r>
      <w:r w:rsidRPr="00FC7A12">
        <w:t>je komunalnih problema kao i 577</w:t>
      </w:r>
      <w:r w:rsidR="00DF6FF7" w:rsidRPr="00FC7A12">
        <w:t xml:space="preserve"> zahtjeva p</w:t>
      </w:r>
      <w:r w:rsidR="009C2A43" w:rsidRPr="00FC7A12">
        <w:t>roslijeđenih</w:t>
      </w:r>
      <w:r w:rsidR="00DF6FF7" w:rsidRPr="00FC7A12">
        <w:t xml:space="preserve"> od strane</w:t>
      </w:r>
      <w:r w:rsidR="009C2A43" w:rsidRPr="00FC7A12">
        <w:t xml:space="preserve">  resornog potpredsjednika</w:t>
      </w:r>
      <w:r w:rsidR="000B2C66" w:rsidRPr="00FC7A12">
        <w:t xml:space="preserve">. </w:t>
      </w:r>
    </w:p>
    <w:p w:rsidR="000B2C66" w:rsidRPr="00FC7A12" w:rsidRDefault="000B2C66" w:rsidP="00E34D60">
      <w:pPr>
        <w:ind w:firstLine="708"/>
        <w:jc w:val="both"/>
      </w:pPr>
      <w:r w:rsidRPr="00FC7A12">
        <w:t xml:space="preserve">Komisija za procjenu šteta od elementarnih nepogoda u toku prethodne godine </w:t>
      </w:r>
      <w:r w:rsidR="00B40255" w:rsidRPr="00FC7A12">
        <w:t>i</w:t>
      </w:r>
      <w:r w:rsidR="005E37BD" w:rsidRPr="00FC7A12">
        <w:t>zvršila je procjenu štete za 38</w:t>
      </w:r>
      <w:r w:rsidRPr="00FC7A12">
        <w:t xml:space="preserve"> objekata. </w:t>
      </w:r>
    </w:p>
    <w:p w:rsidR="008837A3" w:rsidRPr="00FC7A12" w:rsidRDefault="000B2C66" w:rsidP="00E34D60">
      <w:pPr>
        <w:ind w:firstLine="708"/>
        <w:jc w:val="both"/>
      </w:pPr>
      <w:r w:rsidRPr="00FC7A12">
        <w:lastRenderedPageBreak/>
        <w:t>U okviru redovnih aktivnosti Sekretarijata je radila Komisija za ispitivanje kandidata za polaganje ispita iz poznavanja kulturnih, privrednih, turističkih, saobraćajnih i drugih značajnih</w:t>
      </w:r>
      <w:r w:rsidR="00447DB0" w:rsidRPr="00FC7A12">
        <w:t xml:space="preserve"> o</w:t>
      </w:r>
      <w:r w:rsidR="00B37B84" w:rsidRPr="00FC7A12">
        <w:t>bjekata na teritoriji Opštine, u postupku izdavanja taksi legitimacija</w:t>
      </w:r>
      <w:r w:rsidR="00447DB0" w:rsidRPr="00FC7A12">
        <w:t>.</w:t>
      </w:r>
    </w:p>
    <w:p w:rsidR="00BC70E8" w:rsidRPr="00FC7A12" w:rsidRDefault="00BC70E8" w:rsidP="00BC70E8">
      <w:pPr>
        <w:ind w:firstLine="708"/>
        <w:jc w:val="both"/>
      </w:pPr>
      <w:r w:rsidRPr="00FC7A12">
        <w:t>U okviru obavljanja normativne djelatnosti Sekretarijat je pripremio Predlog odluke o uslovima i načinu držanja kućnih ljubimaca, načinu postupanja sa napuštenim i izgubljenim kućnim ljubimcima, načinu zbrinjavanja i kontrole razmnožavanja kućnih ljubimaca, uključujući RIA-analizu uticaja propisa.</w:t>
      </w:r>
    </w:p>
    <w:p w:rsidR="00BC70E8" w:rsidRPr="00FC7A12" w:rsidRDefault="00BC70E8" w:rsidP="00BC70E8">
      <w:pPr>
        <w:ind w:firstLine="708"/>
        <w:jc w:val="both"/>
      </w:pPr>
      <w:r w:rsidRPr="00FC7A12">
        <w:t>Mimo Programa rada pripremani su:</w:t>
      </w:r>
    </w:p>
    <w:p w:rsidR="00BC70E8" w:rsidRPr="00FC7A12" w:rsidRDefault="00BC70E8" w:rsidP="00570B2F">
      <w:pPr>
        <w:pStyle w:val="ListParagraph"/>
        <w:numPr>
          <w:ilvl w:val="0"/>
          <w:numId w:val="32"/>
        </w:numPr>
        <w:jc w:val="both"/>
      </w:pPr>
      <w:r w:rsidRPr="00FC7A12">
        <w:t>Ugovor o donaciji vezano za izgradnju ograde u Azilu zaključen između StrayCoco Fondacije i Opštine Nikšić;</w:t>
      </w:r>
    </w:p>
    <w:p w:rsidR="00BC70E8" w:rsidRPr="00FC7A12" w:rsidRDefault="00BC70E8" w:rsidP="00570B2F">
      <w:pPr>
        <w:pStyle w:val="ListParagraph"/>
        <w:numPr>
          <w:ilvl w:val="0"/>
          <w:numId w:val="32"/>
        </w:numPr>
        <w:jc w:val="both"/>
      </w:pPr>
      <w:r w:rsidRPr="00FC7A12">
        <w:t>Ugovor  i Aneks  ugovora o međusobnoj saradnji u cilju zaštite dobrobiti životinja na teritoriji opštine Nikšić zaključen između Opštine Nikšić i Veterinarske ambulante Nikšić „FAMILY VET”.</w:t>
      </w:r>
    </w:p>
    <w:p w:rsidR="00BC70E8" w:rsidRPr="00FC7A12" w:rsidRDefault="00BC70E8" w:rsidP="00BC70E8">
      <w:pPr>
        <w:ind w:firstLine="708"/>
        <w:jc w:val="both"/>
      </w:pPr>
      <w:r w:rsidRPr="00FC7A12">
        <w:t>U dijelu izrade proj</w:t>
      </w:r>
      <w:r w:rsidR="007855C5">
        <w:t>ekata, planova i programa ovaj s</w:t>
      </w:r>
      <w:r w:rsidRPr="00FC7A12">
        <w:t>ekretarijat je učestvovao u</w:t>
      </w:r>
      <w:r w:rsidR="007855C5">
        <w:t xml:space="preserve"> i</w:t>
      </w:r>
      <w:r w:rsidRPr="00FC7A12">
        <w:t>zradi Elaborata saobraćajne signalizacije (tabli za označavanje naziva naselja i ulica) na teritoriji opštine Nikšić.</w:t>
      </w:r>
    </w:p>
    <w:p w:rsidR="00BC70E8" w:rsidRPr="00FC7A12" w:rsidRDefault="00BC70E8" w:rsidP="00BC70E8">
      <w:pPr>
        <w:ind w:firstLine="708"/>
        <w:jc w:val="both"/>
      </w:pPr>
      <w:r w:rsidRPr="00FC7A12">
        <w:t>Takođe, u 2020. godini donijet je Plan linija u javnom linijskom prevozu putnika.</w:t>
      </w:r>
    </w:p>
    <w:p w:rsidR="00BC70E8" w:rsidRPr="00FC7A12" w:rsidRDefault="00BC70E8" w:rsidP="00BC70E8">
      <w:pPr>
        <w:ind w:firstLine="708"/>
        <w:jc w:val="both"/>
      </w:pPr>
      <w:r w:rsidRPr="00FC7A12">
        <w:t>U cilju efikasnijeg održavanja puteva donesen je Plan zimskog održavanja opštinskih i nekategorisanih puteva na teritoriji opštine Nikšić za 2020/21. godinu.</w:t>
      </w:r>
    </w:p>
    <w:p w:rsidR="000B2C66" w:rsidRPr="00FC7A12" w:rsidRDefault="00BC70E8" w:rsidP="00BC70E8">
      <w:pPr>
        <w:ind w:firstLine="708"/>
        <w:jc w:val="both"/>
      </w:pPr>
      <w:r w:rsidRPr="00FC7A12">
        <w:t>Sekretarijat je u 2020. godini, u saradnji sa Zavodom za zapošljavanje Crne Gore i DOO “Komunalno“ Nikšić, učestvovao u realizaciji lokalnog javnog rada „Čišćenje i održavanje opštinskih puteva i javnih površina na teritoriji opštine Nikšić“ i državnog javnog rada „Neka bude čisto“.</w:t>
      </w:r>
    </w:p>
    <w:p w:rsidR="00BC70E8" w:rsidRPr="00FC7A12" w:rsidRDefault="00BC70E8" w:rsidP="00BC70E8">
      <w:pPr>
        <w:jc w:val="both"/>
      </w:pPr>
      <w:r w:rsidRPr="00FC7A12">
        <w:t xml:space="preserve">            U  Sekretarijatu su u toku 2020. godine vođeni upravni postupci iz:</w:t>
      </w:r>
    </w:p>
    <w:p w:rsidR="00BC70E8" w:rsidRPr="00FC7A12" w:rsidRDefault="00BC70E8" w:rsidP="00570B2F">
      <w:pPr>
        <w:pStyle w:val="ListParagraph"/>
        <w:numPr>
          <w:ilvl w:val="0"/>
          <w:numId w:val="31"/>
        </w:numPr>
        <w:jc w:val="both"/>
      </w:pPr>
      <w:r w:rsidRPr="00FC7A12">
        <w:t>Komunalne oblasti</w:t>
      </w:r>
    </w:p>
    <w:p w:rsidR="00BC70E8" w:rsidRPr="00FC7A12" w:rsidRDefault="00BC70E8" w:rsidP="00570B2F">
      <w:pPr>
        <w:pStyle w:val="ListParagraph"/>
        <w:numPr>
          <w:ilvl w:val="0"/>
          <w:numId w:val="28"/>
        </w:numPr>
        <w:jc w:val="both"/>
      </w:pPr>
      <w:r w:rsidRPr="00FC7A12">
        <w:t>postupak izdavanja vodnih akata (vodni uslovi i vodna saglasnost),</w:t>
      </w:r>
    </w:p>
    <w:p w:rsidR="00BC70E8" w:rsidRPr="00FC7A12" w:rsidRDefault="00BC70E8" w:rsidP="00570B2F">
      <w:pPr>
        <w:pStyle w:val="ListParagraph"/>
        <w:numPr>
          <w:ilvl w:val="0"/>
          <w:numId w:val="28"/>
        </w:numPr>
        <w:jc w:val="both"/>
      </w:pPr>
      <w:r w:rsidRPr="00FC7A12">
        <w:t>postupak izdavanja akata za prekop javnih površina;</w:t>
      </w:r>
    </w:p>
    <w:p w:rsidR="00BC70E8" w:rsidRPr="00FC7A12" w:rsidRDefault="00BC70E8" w:rsidP="00570B2F">
      <w:pPr>
        <w:pStyle w:val="ListParagraph"/>
        <w:numPr>
          <w:ilvl w:val="0"/>
          <w:numId w:val="19"/>
        </w:numPr>
        <w:jc w:val="both"/>
      </w:pPr>
      <w:r w:rsidRPr="00FC7A12">
        <w:t xml:space="preserve">Saobraćajne oblasti </w:t>
      </w:r>
    </w:p>
    <w:p w:rsidR="00BC70E8" w:rsidRPr="00FC7A12" w:rsidRDefault="00BC70E8" w:rsidP="00570B2F">
      <w:pPr>
        <w:pStyle w:val="ListParagraph"/>
        <w:numPr>
          <w:ilvl w:val="0"/>
          <w:numId w:val="29"/>
        </w:numPr>
        <w:jc w:val="both"/>
      </w:pPr>
      <w:r w:rsidRPr="00FC7A12">
        <w:t>postupak izdavanja saobraćajne saglasnosti i  odobrenja,</w:t>
      </w:r>
    </w:p>
    <w:p w:rsidR="00BC70E8" w:rsidRPr="00FC7A12" w:rsidRDefault="00BC70E8" w:rsidP="00570B2F">
      <w:pPr>
        <w:pStyle w:val="ListParagraph"/>
        <w:numPr>
          <w:ilvl w:val="0"/>
          <w:numId w:val="29"/>
        </w:numPr>
        <w:jc w:val="both"/>
      </w:pPr>
      <w:r w:rsidRPr="00FC7A12">
        <w:t>postupak izdavanja licence i izvoda licenci za obavljanje javnog prevoza putnika u unutrašnjem lokalnom drumskom saobraćaju,</w:t>
      </w:r>
    </w:p>
    <w:p w:rsidR="00BC70E8" w:rsidRPr="00FC7A12" w:rsidRDefault="00BC70E8" w:rsidP="00570B2F">
      <w:pPr>
        <w:pStyle w:val="ListParagraph"/>
        <w:numPr>
          <w:ilvl w:val="0"/>
          <w:numId w:val="29"/>
        </w:numPr>
        <w:jc w:val="both"/>
      </w:pPr>
      <w:r w:rsidRPr="00FC7A12">
        <w:t>postupak izdavanja odobrenja za obavljanje prevoza za sopstvene potrebe, taxi legitimacija, odobrenja za znak pristupačnosti.</w:t>
      </w:r>
    </w:p>
    <w:p w:rsidR="00BC70E8" w:rsidRPr="00FC7A12" w:rsidRDefault="00BC70E8" w:rsidP="00BC70E8">
      <w:pPr>
        <w:ind w:firstLine="708"/>
        <w:jc w:val="both"/>
      </w:pPr>
      <w:r w:rsidRPr="00FC7A12">
        <w:t>U okviru sprovođenja upravnih postupaka vodi se evidencija izdatih akata:</w:t>
      </w:r>
    </w:p>
    <w:p w:rsidR="00BC70E8" w:rsidRPr="00FC7A12" w:rsidRDefault="00BC70E8" w:rsidP="00570B2F">
      <w:pPr>
        <w:pStyle w:val="ListParagraph"/>
        <w:numPr>
          <w:ilvl w:val="0"/>
          <w:numId w:val="30"/>
        </w:numPr>
        <w:jc w:val="both"/>
      </w:pPr>
      <w:r w:rsidRPr="00FC7A12">
        <w:t xml:space="preserve">vodnih uslova, vodnih saglasnosti, vodnih dozvola i vodnih naloga, </w:t>
      </w:r>
    </w:p>
    <w:p w:rsidR="00BC70E8" w:rsidRPr="00FC7A12" w:rsidRDefault="00BC70E8" w:rsidP="00570B2F">
      <w:pPr>
        <w:pStyle w:val="ListParagraph"/>
        <w:numPr>
          <w:ilvl w:val="0"/>
          <w:numId w:val="30"/>
        </w:numPr>
        <w:jc w:val="both"/>
      </w:pPr>
      <w:r w:rsidRPr="00FC7A12">
        <w:t>licenci, izvoda licenci, odobrenja za obavljanje prevoza za sopstvene potrebe.</w:t>
      </w:r>
    </w:p>
    <w:p w:rsidR="00BC70E8" w:rsidRPr="00FC7A12" w:rsidRDefault="00BC70E8" w:rsidP="00BC70E8">
      <w:pPr>
        <w:ind w:firstLine="708"/>
        <w:jc w:val="both"/>
      </w:pPr>
      <w:r w:rsidRPr="00FC7A12">
        <w:t>U toku 2020. godine donijeta su 353 rješenja, koja se odnose na upravni postupak. Na donijeta rješenja izjavljene su dvije žalbe.</w:t>
      </w:r>
    </w:p>
    <w:p w:rsidR="00BC70E8" w:rsidRPr="00FC7A12" w:rsidRDefault="00BC70E8" w:rsidP="00BC70E8">
      <w:pPr>
        <w:ind w:firstLine="708"/>
        <w:jc w:val="both"/>
      </w:pPr>
    </w:p>
    <w:p w:rsidR="000B2C66" w:rsidRPr="00FC7A12" w:rsidRDefault="000B2C66" w:rsidP="00E34D60">
      <w:pPr>
        <w:jc w:val="center"/>
      </w:pPr>
    </w:p>
    <w:p w:rsidR="001E0992" w:rsidRPr="00FC7A12" w:rsidRDefault="001E0992" w:rsidP="00E34D60">
      <w:pPr>
        <w:jc w:val="center"/>
      </w:pPr>
      <w:r w:rsidRPr="00FC7A12">
        <w:t>*</w:t>
      </w:r>
    </w:p>
    <w:p w:rsidR="001E0992" w:rsidRPr="00FC7A12" w:rsidRDefault="001E0992" w:rsidP="00E34D60">
      <w:pPr>
        <w:jc w:val="both"/>
        <w:rPr>
          <w:color w:val="000000" w:themeColor="text1"/>
        </w:rPr>
      </w:pPr>
    </w:p>
    <w:p w:rsidR="00E04247" w:rsidRPr="00FC7A12" w:rsidRDefault="001E0992" w:rsidP="0072730A">
      <w:pPr>
        <w:jc w:val="both"/>
        <w:rPr>
          <w:color w:val="000000" w:themeColor="text1"/>
        </w:rPr>
      </w:pPr>
      <w:r w:rsidRPr="00FC7A12">
        <w:rPr>
          <w:color w:val="000000" w:themeColor="text1"/>
        </w:rPr>
        <w:t xml:space="preserve">     </w:t>
      </w:r>
      <w:r w:rsidRPr="00FC7A12">
        <w:rPr>
          <w:color w:val="000000" w:themeColor="text1"/>
        </w:rPr>
        <w:tab/>
      </w:r>
      <w:r w:rsidRPr="00FC7A12">
        <w:rPr>
          <w:b/>
          <w:bCs/>
          <w:color w:val="000000" w:themeColor="text1"/>
        </w:rPr>
        <w:t>Direkcija za imovinu</w:t>
      </w:r>
      <w:r w:rsidRPr="00FC7A12">
        <w:rPr>
          <w:color w:val="000000" w:themeColor="text1"/>
        </w:rPr>
        <w:t>,</w:t>
      </w:r>
      <w:r w:rsidRPr="00FC7A12">
        <w:rPr>
          <w:color w:val="FF0000"/>
        </w:rPr>
        <w:t xml:space="preserve"> </w:t>
      </w:r>
      <w:r w:rsidRPr="00FC7A12">
        <w:rPr>
          <w:color w:val="000000" w:themeColor="text1"/>
        </w:rPr>
        <w:t>kao nadležni organ lokalne uprave za imovinu, u izvještajnom periodu štitila j</w:t>
      </w:r>
      <w:r w:rsidR="00D40960" w:rsidRPr="00FC7A12">
        <w:rPr>
          <w:color w:val="000000" w:themeColor="text1"/>
        </w:rPr>
        <w:t>e imovinu i imovinske interese O</w:t>
      </w:r>
      <w:r w:rsidRPr="00FC7A12">
        <w:rPr>
          <w:color w:val="000000" w:themeColor="text1"/>
        </w:rPr>
        <w:t>pštine Nikšić, preduzimajući  mjere i pravna sredstva pred sudovima i drugim državnim organima. Direkcija je pripremala odluke u vezi sa raspolaganjem opštinskom imovinom, utvrdjivanjem naknade za komunalno opremanje gradjevinskog zemljišta, eksproprijacija i dr.</w:t>
      </w:r>
    </w:p>
    <w:p w:rsidR="005C08C0" w:rsidRPr="00FC7A12" w:rsidRDefault="005C08C0" w:rsidP="005C08C0">
      <w:pPr>
        <w:ind w:firstLine="708"/>
        <w:jc w:val="both"/>
        <w:rPr>
          <w:color w:val="000000" w:themeColor="text1"/>
        </w:rPr>
      </w:pPr>
      <w:r w:rsidRPr="00FC7A12">
        <w:rPr>
          <w:b/>
          <w:color w:val="000000" w:themeColor="text1"/>
        </w:rPr>
        <w:lastRenderedPageBreak/>
        <w:t>Sektor za zaštitu imovinsko-pravnih interesa Opštine</w:t>
      </w:r>
      <w:r w:rsidRPr="00FC7A12">
        <w:rPr>
          <w:color w:val="000000" w:themeColor="text1"/>
        </w:rPr>
        <w:t xml:space="preserve"> tokom 2020. godine, obavljao je sve poslove koji se odnose na zaštitu imovinsko - pravnih interesa Opštine. Pred sudovima i drugim državnim organima, preduzimane su sve potrebne radnje koje su predviđene zakonom u cilju što uspješnijeg obavljanja poslova.</w:t>
      </w:r>
    </w:p>
    <w:p w:rsidR="0072730A" w:rsidRPr="00FC7A12" w:rsidRDefault="0072730A" w:rsidP="0072730A">
      <w:pPr>
        <w:tabs>
          <w:tab w:val="left" w:pos="2610"/>
        </w:tabs>
        <w:ind w:firstLine="720"/>
        <w:jc w:val="both"/>
      </w:pPr>
      <w:r w:rsidRPr="00FC7A12">
        <w:t>U izvještajnom periodu u radu je bilo ukupno 1175 predmeta i to: 976 parničnih i vanparničnih predmeta, 94 predmeta koja se odnose na prijavu stečajnog potraživanja, 15 parničnih predmeta u kojima je Opština u ulozi tužioca,  2 izvršna predmeta, 71 predmet koji se odnose na vansudska poravnanja i 17 predmeta koji se odnose na postupak vraćanja oduzetih imovinskih prava pred Komisijom za povraćaj i obeštećenje.</w:t>
      </w:r>
    </w:p>
    <w:p w:rsidR="0072730A" w:rsidRPr="00FC7A12" w:rsidRDefault="0072730A" w:rsidP="0072730A">
      <w:pPr>
        <w:tabs>
          <w:tab w:val="left" w:pos="2610"/>
        </w:tabs>
        <w:ind w:firstLine="720"/>
        <w:jc w:val="both"/>
      </w:pPr>
      <w:r w:rsidRPr="00FC7A12">
        <w:t>Od ukupno 976 parničnih i vanparničnih predmeta u 2020. godini primljeno je 516 novih tužbi, dok je iz prethodnih godina prenijeto 460 predmeta i to: iz 2019. godine 324 predmeta, iz 2018.</w:t>
      </w:r>
      <w:r w:rsidR="007855C5">
        <w:t xml:space="preserve"> </w:t>
      </w:r>
      <w:r w:rsidRPr="00FC7A12">
        <w:t>godine - 56 predmeta, iz 2017. godine – 17 predmeta, iz 2016.</w:t>
      </w:r>
      <w:r w:rsidR="007855C5">
        <w:t xml:space="preserve"> </w:t>
      </w:r>
      <w:r w:rsidRPr="00FC7A12">
        <w:t>godine – 21 predmet , iz 2015.</w:t>
      </w:r>
      <w:r w:rsidR="007855C5">
        <w:t xml:space="preserve"> </w:t>
      </w:r>
      <w:r w:rsidRPr="00FC7A12">
        <w:t>godine – 13 predmeta i iz 2014.</w:t>
      </w:r>
      <w:r w:rsidR="007855C5">
        <w:t xml:space="preserve"> </w:t>
      </w:r>
      <w:r w:rsidRPr="00FC7A12">
        <w:t xml:space="preserve">godine i ranijih godina  – 29 predmeta. </w:t>
      </w:r>
    </w:p>
    <w:p w:rsidR="0072730A" w:rsidRPr="00FC7A12" w:rsidRDefault="0072730A" w:rsidP="0072730A">
      <w:pPr>
        <w:tabs>
          <w:tab w:val="left" w:pos="2610"/>
        </w:tabs>
        <w:ind w:firstLine="720"/>
        <w:jc w:val="both"/>
      </w:pPr>
      <w:r w:rsidRPr="00FC7A12">
        <w:t>U 2020. godini završena su 590 predmeta, od čega iz 2014.</w:t>
      </w:r>
      <w:r w:rsidR="007855C5">
        <w:t xml:space="preserve"> </w:t>
      </w:r>
      <w:r w:rsidRPr="00FC7A12">
        <w:t>g</w:t>
      </w:r>
      <w:r w:rsidR="007855C5">
        <w:t>odine</w:t>
      </w:r>
      <w:r w:rsidRPr="00FC7A12">
        <w:t xml:space="preserve"> i ranijeg perioda 5 predmeta, iz 2015. godine 6 predmeta, iz 2016. godine 7 predmeta, iz 2017. godine 7 predmeta, iz 2018. godine 29 predmeta, iz 2019. godine 229 predmeta i iz 2020. godine 240 predmeta. Ostala 453 predmeta koji su nezavršeni i prenijeti u 2021. godinuse odnose na : 276 predmeta iz 2020. godine,  95 predmeta iz 2019.godine, 27 predmeta iz 2018. godine, 10 predmeta iz 2017 godine, 14 predmeta iz 2016. godine, 7 predmeta iz 2015. godine i 24 predmeta iz 2014. i ranijih godina, te 67 predmeta u kojima su zaključena vansudska poravnanja.</w:t>
      </w:r>
    </w:p>
    <w:p w:rsidR="0072730A" w:rsidRPr="00FC7A12" w:rsidRDefault="0072730A" w:rsidP="00C93553">
      <w:pPr>
        <w:tabs>
          <w:tab w:val="left" w:pos="2610"/>
        </w:tabs>
        <w:spacing w:line="0" w:lineRule="atLeast"/>
        <w:ind w:firstLine="720"/>
        <w:jc w:val="both"/>
      </w:pPr>
      <w:r w:rsidRPr="00FC7A12">
        <w:t xml:space="preserve">Za ukupno 569 predmeta u kojima je usvojen tužbeni zahtjev u odnosu na Opštinu Nikšić </w:t>
      </w:r>
      <w:r w:rsidR="00C93553" w:rsidRPr="00FC7A12">
        <w:t>iz B</w:t>
      </w:r>
      <w:r w:rsidRPr="00FC7A12">
        <w:t>udžeta je isplaćeno 727.990,83 €, a isti se odnose na</w:t>
      </w:r>
      <w:r w:rsidR="00C93553" w:rsidRPr="00FC7A12">
        <w:t>:</w:t>
      </w:r>
      <w:r w:rsidRPr="00FC7A12">
        <w:t xml:space="preserve"> štete zbog ujeda ili napada psa lutalice ili mačke (484 predmeta  za koje je isplaćeno 324.712,37 €);  štete zbog pada na led</w:t>
      </w:r>
      <w:r w:rsidR="00C93553" w:rsidRPr="00FC7A12">
        <w:t>u</w:t>
      </w:r>
      <w:r w:rsidRPr="00FC7A12">
        <w:t xml:space="preserve"> (za 30 predmeta  plaćeno je 167.763,84 €); štete usled raznih drugih padova -šah</w:t>
      </w:r>
      <w:r w:rsidR="00C93553" w:rsidRPr="00FC7A12">
        <w:t>t, rupe, ankeri, neravnine i drugo</w:t>
      </w:r>
      <w:r w:rsidRPr="00FC7A12">
        <w:t xml:space="preserve"> (za 22 predmeta plaćeno je 118.296,52 €); naknade za eksproprijaciju, faktičku eksproprijaciju, utvrđivanje prava svojine ( za 13 predmeta plaćeno je 73.509,07 €</w:t>
      </w:r>
      <w:r w:rsidR="00C93553" w:rsidRPr="00FC7A12">
        <w:t>); naknade iz radnih sporova (</w:t>
      </w:r>
      <w:r w:rsidRPr="00FC7A12">
        <w:t>za 4 predmeta plaćeno 12.405,21 €</w:t>
      </w:r>
      <w:r w:rsidR="00C93553" w:rsidRPr="00FC7A12">
        <w:t>)</w:t>
      </w:r>
      <w:r w:rsidRPr="00FC7A12">
        <w:t>;</w:t>
      </w:r>
      <w:r w:rsidR="00C93553" w:rsidRPr="00FC7A12">
        <w:t xml:space="preserve"> </w:t>
      </w:r>
      <w:r w:rsidRPr="00FC7A12">
        <w:t>štete iz saobraćajnih nezgoda zbog nepravilnosti na opštinski</w:t>
      </w:r>
      <w:r w:rsidR="00C93553" w:rsidRPr="00FC7A12">
        <w:t>m putevima i regresni zahtjevi (</w:t>
      </w:r>
      <w:r w:rsidRPr="00FC7A12">
        <w:t>za 16 predmeta plaćeno 31.303,82 €</w:t>
      </w:r>
      <w:r w:rsidR="00C93553" w:rsidRPr="00FC7A12">
        <w:t>).</w:t>
      </w:r>
      <w:r w:rsidRPr="00FC7A12">
        <w:t xml:space="preserve"> </w:t>
      </w:r>
    </w:p>
    <w:p w:rsidR="0072730A" w:rsidRPr="00FC7A12" w:rsidRDefault="0072730A" w:rsidP="0072730A">
      <w:pPr>
        <w:tabs>
          <w:tab w:val="left" w:pos="2610"/>
        </w:tabs>
        <w:spacing w:line="0" w:lineRule="atLeast"/>
        <w:jc w:val="both"/>
      </w:pPr>
      <w:r w:rsidRPr="00FC7A12">
        <w:t xml:space="preserve">            Solidarna odgovornost sa  DOO „Komunalno“ Nikšić je utvrdjena u 152 pr</w:t>
      </w:r>
      <w:r w:rsidR="00C93553" w:rsidRPr="00FC7A12">
        <w:t>e</w:t>
      </w:r>
      <w:r w:rsidRPr="00FC7A12">
        <w:t>dmeta, dok je u 400 predmeta na ime naknade štete zbog ujeda psa, Opština Nikšić preuzela odgovornost, jer se DOO „Komunalno“ nije htjelo poravnati.</w:t>
      </w:r>
    </w:p>
    <w:p w:rsidR="0072730A" w:rsidRPr="00FC7A12" w:rsidRDefault="001019BA" w:rsidP="001019BA">
      <w:pPr>
        <w:tabs>
          <w:tab w:val="left" w:pos="2610"/>
        </w:tabs>
        <w:spacing w:line="0" w:lineRule="atLeast"/>
        <w:jc w:val="both"/>
      </w:pPr>
      <w:r w:rsidRPr="00FC7A12">
        <w:t xml:space="preserve">            </w:t>
      </w:r>
      <w:r w:rsidR="00C93553" w:rsidRPr="00FC7A12">
        <w:t>U 14 predmeta u kojima je pravosnažno odbijen tužbeni zahtjev potraživanja prema Opštini su iznosila 507.085,78 €, ne uzimajući u obzir troškove postupka.</w:t>
      </w:r>
    </w:p>
    <w:p w:rsidR="0072730A" w:rsidRPr="00FC7A12" w:rsidRDefault="00C93553" w:rsidP="00E34D60">
      <w:pPr>
        <w:jc w:val="both"/>
      </w:pPr>
      <w:r w:rsidRPr="00FC7A12">
        <w:t xml:space="preserve">        Ukupno  10 predmeta je okončano na drugi način i to u 2 predmeta je povučena tužba, za 5 predmeta donijeto je rješenje o spajanju sa drugim predmetima koji su pred sudom već bili u toku i 3 vansudska zahtjeva su povučena.</w:t>
      </w:r>
    </w:p>
    <w:p w:rsidR="0072730A" w:rsidRPr="00FC7A12" w:rsidRDefault="00C93553" w:rsidP="00C93553">
      <w:pPr>
        <w:ind w:firstLine="708"/>
        <w:jc w:val="both"/>
        <w:rPr>
          <w:color w:val="000000" w:themeColor="text1"/>
        </w:rPr>
      </w:pPr>
      <w:r w:rsidRPr="00FC7A12">
        <w:t>Ukupano 453 nezavršenih predmeta koji su bili u radu tokom 2020. godine, prenešeni su u 2021. godinu.</w:t>
      </w:r>
    </w:p>
    <w:p w:rsidR="00C83227" w:rsidRPr="00FC7A12" w:rsidRDefault="00617F4A" w:rsidP="005C08C0">
      <w:pPr>
        <w:tabs>
          <w:tab w:val="left" w:pos="720"/>
        </w:tabs>
        <w:spacing w:line="0" w:lineRule="atLeast"/>
        <w:jc w:val="both"/>
      </w:pPr>
      <w:r w:rsidRPr="00FC7A12">
        <w:rPr>
          <w:color w:val="FF0000"/>
        </w:rPr>
        <w:tab/>
      </w:r>
      <w:r w:rsidRPr="00FC7A12">
        <w:rPr>
          <w:color w:val="000000" w:themeColor="text1"/>
        </w:rPr>
        <w:t>U 2020</w:t>
      </w:r>
      <w:r w:rsidR="00C93553" w:rsidRPr="00FC7A12">
        <w:rPr>
          <w:color w:val="000000" w:themeColor="text1"/>
        </w:rPr>
        <w:t>. godini Opština je kao tužilac ili stečajni povjerilac postupala u 109 predmeta i to u 15 parničnih predmeta u kojima je potraživan iznos od 156.330,47 €, kao i u 94 predmeta koji se odnose na prijavu stečajnog potraživanja u iznosu od 2.210.158,76 € (7 predmeta iz 2020. godine i 87 predmeta iz prethodnog perioda).</w:t>
      </w:r>
      <w:r w:rsidR="00C83227" w:rsidRPr="00FC7A12">
        <w:t xml:space="preserve"> Tokom izvještajnog perioda Direkciji su od strane Privrednog suda dostavljena rješenja o zaključenju stečajnog postupka u 67 predmeta, u kojima su potraživanja Opštine iznosila 1.084.208,62 €. Od navedenog broja samo u 1 predmetu je namireno potraživanje Opštine i to u iznosu od 655,69 €, dok je u preostalih 66 predmeta potraživanje prihvaćeno, ali stečajni dužnici nijesu raspolagali imovinom niti novčanim sredstvima iz kojih bi se mogla namiriti potraživanja stečajnih povjerilaca. U 2021. godinu prenijeto je ukupno 27 </w:t>
      </w:r>
      <w:r w:rsidR="00C83227" w:rsidRPr="00FC7A12">
        <w:lastRenderedPageBreak/>
        <w:t xml:space="preserve">predmeta koji se odnose na prijavu stečajnog potraživanja. Ukupan iznos potraživanja Opštine u ovim postupcima iznosi 1.125.950,14 €.  S obzirom na vrstu potraživanja koja se prijavljuju u stečajnom postupku (porez na nepokretnost, prirez porezu na dohodak fizičkih lica, porez na firmu ili naziv, naknada za korišćenje opštinskih puteva i dr.), te činjenicu da se uglavnom radi o periodičnim potraživanjima koja proizilaze iz zakonske obaveze stečajnih dužnika,  potraživanja Opštine su prihvaćena, ali ne može se očekivati njihovo namirenje, jer su ista svrstana u 2 ili 3 isplatni red, a stečajni dužnici uglavnom nemaju imovine niti sredstava za namirenje dugovanja prema stečajnim povjeriocima. </w:t>
      </w:r>
    </w:p>
    <w:p w:rsidR="00617F4A" w:rsidRPr="00FC7A12" w:rsidRDefault="00617F4A" w:rsidP="005C08C0">
      <w:pPr>
        <w:spacing w:line="0" w:lineRule="atLeast"/>
        <w:ind w:firstLine="706"/>
        <w:jc w:val="both"/>
      </w:pPr>
      <w:r w:rsidRPr="00FC7A12">
        <w:t>Pred Komisijom za povraćaj i obeštećenje po zahtjevima ranijih vlasnika postupano je u 17 predmeta koji potiču iz ranijih godina. U 7 predmeta u kojima su održane rasprave pred prvostepenom Komisijom očekuje se donošenje odluke, dok je 8 predmeta vraćeno na ponovni postupak i odlučiv</w:t>
      </w:r>
      <w:r w:rsidR="007855C5">
        <w:t>anje. U jednom</w:t>
      </w:r>
      <w:r w:rsidRPr="00FC7A12">
        <w:t xml:space="preserve"> predmetu postupak je završen na način što je umjesto ranije donijetog rješenja kojim se odobrava povraćaj, sada donijeto rj</w:t>
      </w:r>
      <w:r w:rsidR="007855C5">
        <w:t xml:space="preserve">ešenje o obeštećenju, dok je u jednom </w:t>
      </w:r>
      <w:r w:rsidRPr="00FC7A12">
        <w:t xml:space="preserve"> predmetu postupak obustavljen. </w:t>
      </w:r>
    </w:p>
    <w:p w:rsidR="00C83227" w:rsidRPr="00FC7A12" w:rsidRDefault="00C83227" w:rsidP="005C08C0">
      <w:pPr>
        <w:tabs>
          <w:tab w:val="left" w:pos="720"/>
        </w:tabs>
        <w:spacing w:line="0" w:lineRule="atLeast"/>
        <w:jc w:val="both"/>
      </w:pPr>
      <w:r w:rsidRPr="00FC7A12">
        <w:t xml:space="preserve">         Po pozivu Suda punomoćnici su pristupili na 1680 ročišta i sačunili ukupno 3.720 obrazloženih podnesaka (odgovori na tužbe, izjavljene žalbe, pisana izjašnjenja, prigovori na nalaz vještaka,vanredna pravna sredstva, razni dopisi za dostavljanje dokaza prema nadležnim opštinskim i državnim organima i sl). Kroz opšti djelovodnik u toku 2020.godine zavedena su 736 zahtjeva osnovnih brojeva i 1.472 podbrojeva, a u upisnik parničnih predmeta 522 , u upisnik parnice pod podbrojevima zavedeno je 3. 597 podnesaka, što ukupno čini 6.327 zavedenih akata.</w:t>
      </w:r>
    </w:p>
    <w:p w:rsidR="00653731" w:rsidRPr="00FC7A12" w:rsidRDefault="00653731" w:rsidP="00E34D60">
      <w:pPr>
        <w:ind w:firstLine="708"/>
        <w:jc w:val="both"/>
      </w:pPr>
      <w:r w:rsidRPr="00FC7A12">
        <w:rPr>
          <w:b/>
        </w:rPr>
        <w:t>Sektor za imovinsko-pravne, n</w:t>
      </w:r>
      <w:r w:rsidR="00C83227" w:rsidRPr="00FC7A12">
        <w:rPr>
          <w:b/>
        </w:rPr>
        <w:t>ormativne i opšte poslove</w:t>
      </w:r>
      <w:r w:rsidR="00C83227" w:rsidRPr="00FC7A12">
        <w:t xml:space="preserve"> u 2020</w:t>
      </w:r>
      <w:r w:rsidRPr="00FC7A12">
        <w:t>.</w:t>
      </w:r>
      <w:r w:rsidR="00C83227" w:rsidRPr="00FC7A12">
        <w:t xml:space="preserve"> </w:t>
      </w:r>
      <w:r w:rsidRPr="00FC7A12">
        <w:t>godini, vršio je poslove iz svoje nadležnosti, a koji se prije svega odnose na pripremu akata u vezi sa raspolagnjem imovinom Opštine u skladu sa zakonom po zahtjevima građana, državnih organa i drugih pravnih lica, kao i raspolaganjem imovinom iz okvira ovlašćenja Opštine, utvrđivanje zakupa zemljišta za postavljanje montažnih objekata privremenog karaktera, zatim pokretanje postupka eksproprijacije i druge poslove vezane za eksproprijaciju nepokretnosti, kao i rješavanjem drugih imovinsko pravnih odnosa gdje je Opština stranka u pos</w:t>
      </w:r>
      <w:r w:rsidR="00362F83">
        <w:t>tupku. Pored ovih poslova ovaj s</w:t>
      </w:r>
      <w:r w:rsidRPr="00FC7A12">
        <w:t xml:space="preserve">ektor se stara o izvršenju odluka Skupštine Opštine iz oblasti svog djelokruga rada, zatim sprovodi poslove vezane za postupak javnog nadmetnja radi prodaje, davanja u zakup, davanja na korišćenje opštinske imovine i druge sa njima povezane poslove. </w:t>
      </w:r>
    </w:p>
    <w:p w:rsidR="005C08C0" w:rsidRPr="00FC7A12" w:rsidRDefault="005C08C0" w:rsidP="00E34D60">
      <w:pPr>
        <w:ind w:firstLine="708"/>
        <w:jc w:val="both"/>
      </w:pPr>
      <w:r w:rsidRPr="00FC7A12">
        <w:t>Za Skupštinu Opštine Nikšić pripremljena je ukupno 9 odluka.</w:t>
      </w:r>
    </w:p>
    <w:p w:rsidR="005C08C0" w:rsidRPr="00FC7A12" w:rsidRDefault="005C08C0" w:rsidP="005C08C0">
      <w:pPr>
        <w:ind w:firstLine="708"/>
        <w:jc w:val="both"/>
      </w:pPr>
      <w:r w:rsidRPr="00FC7A12">
        <w:rPr>
          <w:color w:val="000000"/>
          <w:lang w:val="en-US" w:eastAsia="en-US"/>
        </w:rPr>
        <w:t xml:space="preserve">U postupku realizacije </w:t>
      </w:r>
      <w:r w:rsidRPr="00FC7A12">
        <w:rPr>
          <w:lang w:val="sl-SI"/>
        </w:rPr>
        <w:t>Odluke o davanju u zakup zemljišta putem prikupljanja ponuda radi postavljanja privremenih objekata u skladu sa Odlukom o donošenju programa privremenih objekata na teritoriji opštine Nikšić ( » Službeni list CG-opštinski propisi« broj 45/19), Direkcija za imovinu je 3 puta raspisivala javni poziv. U skladu sa proveden</w:t>
      </w:r>
      <w:r w:rsidR="00362F83">
        <w:rPr>
          <w:lang w:val="sl-SI"/>
        </w:rPr>
        <w:t>im j</w:t>
      </w:r>
      <w:r w:rsidRPr="00FC7A12">
        <w:rPr>
          <w:lang w:val="sl-SI"/>
        </w:rPr>
        <w:t xml:space="preserve">avnim pozivom sačinjeno je </w:t>
      </w:r>
      <w:r w:rsidRPr="00FC7A12">
        <w:t>112 obavještenja u kojima je obračunata naknada za zakup zemljišta za postavljanje montažnih objekata privremenog karaktera i dati uslovi za zaključenje ugovora o zakupu zemljišta.</w:t>
      </w:r>
    </w:p>
    <w:p w:rsidR="005C08C0" w:rsidRPr="00FC7A12" w:rsidRDefault="005C08C0" w:rsidP="005C08C0">
      <w:pPr>
        <w:ind w:firstLine="720"/>
        <w:jc w:val="both"/>
      </w:pPr>
      <w:r w:rsidRPr="00FC7A12">
        <w:t>Shodno sporovedenim postupcima  zaključeno je 111 ugovora o zakupa zemljišta za postavljanje privremenih objekata,  po  kom osnovu je prihodovano 87.172,76 €.</w:t>
      </w:r>
    </w:p>
    <w:p w:rsidR="005C08C0" w:rsidRPr="00FC7A12" w:rsidRDefault="005C08C0" w:rsidP="005C08C0">
      <w:pPr>
        <w:ind w:firstLine="720"/>
        <w:jc w:val="both"/>
      </w:pPr>
      <w:r w:rsidRPr="00FC7A12">
        <w:t xml:space="preserve">Za privremene objekte koji nijesu uvršeteni u Program privremenih objektata, ovaj Sektor je u skladu sa </w:t>
      </w:r>
      <w:r w:rsidRPr="00FC7A12">
        <w:rPr>
          <w:color w:val="000000"/>
          <w:lang w:val="en-US" w:eastAsia="en-US"/>
        </w:rPr>
        <w:t xml:space="preserve">Odlukom o izmjeni odluke o davanju u zakup zemljišta putem prikupljanja ponuda radi postavljanja privremenih objekata je pripremila </w:t>
      </w:r>
      <w:r w:rsidRPr="00FC7A12">
        <w:t>85 obavještenje kojima je obračunata naknada za produženje zakupa zemljišta za postavljanje montažnih objekata privremenog karaktera, najkasnije do 01.06.2021.</w:t>
      </w:r>
      <w:r w:rsidR="00362F83">
        <w:t xml:space="preserve"> </w:t>
      </w:r>
      <w:r w:rsidRPr="00FC7A12">
        <w:t>godine, u kom postupku je zaključeno 73 ugovora. Po ovom osnovu  Opština je prihodovala 22.614,90 €.</w:t>
      </w:r>
    </w:p>
    <w:p w:rsidR="00653731" w:rsidRPr="00FC7A12" w:rsidRDefault="00617F4A" w:rsidP="00E34D60">
      <w:pPr>
        <w:ind w:firstLine="720"/>
        <w:jc w:val="both"/>
      </w:pPr>
      <w:r w:rsidRPr="00FC7A12">
        <w:t>U 2020</w:t>
      </w:r>
      <w:r w:rsidR="00653731" w:rsidRPr="00FC7A12">
        <w:t xml:space="preserve">. godini službenici </w:t>
      </w:r>
      <w:r w:rsidR="00653731" w:rsidRPr="00FC7A12">
        <w:rPr>
          <w:b/>
        </w:rPr>
        <w:t>Sektora za evidenciju opštinske imovine</w:t>
      </w:r>
      <w:r w:rsidR="00653731" w:rsidRPr="00FC7A12">
        <w:t xml:space="preserve"> su pratili sve promjene koje su se dešavali u vezi statusa drzavne imovine sa kojom raspolaze Opština Nikšić. </w:t>
      </w:r>
      <w:r w:rsidR="00653731" w:rsidRPr="00FC7A12">
        <w:lastRenderedPageBreak/>
        <w:t>Pripremljen je  Izvještaj o stanju opštinske imovine, a isti je razmatran i  usvojen na  sjedn</w:t>
      </w:r>
      <w:r w:rsidRPr="00FC7A12">
        <w:t>ici  SO Nikšić odrzanoj  dana 28.07.2020</w:t>
      </w:r>
      <w:r w:rsidR="00653731" w:rsidRPr="00FC7A12">
        <w:t xml:space="preserve">. godine.  </w:t>
      </w:r>
    </w:p>
    <w:p w:rsidR="00617F4A" w:rsidRPr="00FC7A12" w:rsidRDefault="005C08C0" w:rsidP="00617F4A">
      <w:pPr>
        <w:tabs>
          <w:tab w:val="left" w:pos="6315"/>
        </w:tabs>
        <w:spacing w:line="0" w:lineRule="atLeast"/>
        <w:jc w:val="both"/>
      </w:pPr>
      <w:r w:rsidRPr="00FC7A12">
        <w:t xml:space="preserve">              </w:t>
      </w:r>
      <w:r w:rsidR="00617F4A" w:rsidRPr="00FC7A12">
        <w:t>Na osnovu sveukupne evidencije nepokretne i pokretne državne imovine u raspolaganju Opštine sačinjen je Izvještaj i dostavljen Upravi za imovinu, koji se svake godine u skladu sa zakonskim obavezama dostavlja do 28.02. tekuće godine, sa podacima za prethodnu godinu.</w:t>
      </w:r>
    </w:p>
    <w:p w:rsidR="00653731" w:rsidRPr="00FC7A12" w:rsidRDefault="00653731" w:rsidP="008420FC">
      <w:pPr>
        <w:ind w:firstLine="720"/>
        <w:jc w:val="both"/>
        <w:rPr>
          <w:b/>
        </w:rPr>
      </w:pPr>
    </w:p>
    <w:p w:rsidR="001E0992" w:rsidRPr="00FC7A12" w:rsidRDefault="001E0992" w:rsidP="00E34D60">
      <w:pPr>
        <w:jc w:val="center"/>
        <w:rPr>
          <w:b/>
          <w:bCs/>
        </w:rPr>
      </w:pPr>
      <w:r w:rsidRPr="00FC7A12">
        <w:rPr>
          <w:b/>
          <w:bCs/>
        </w:rPr>
        <w:t>*</w:t>
      </w:r>
    </w:p>
    <w:p w:rsidR="000B2C66" w:rsidRPr="00FC7A12" w:rsidRDefault="000B2C66" w:rsidP="00E34D60">
      <w:pPr>
        <w:jc w:val="center"/>
        <w:rPr>
          <w:b/>
          <w:bCs/>
        </w:rPr>
      </w:pPr>
    </w:p>
    <w:p w:rsidR="000B2C66" w:rsidRPr="00FC7A12" w:rsidRDefault="000B2C66" w:rsidP="00E34D60">
      <w:pPr>
        <w:ind w:firstLine="708"/>
        <w:jc w:val="both"/>
      </w:pPr>
      <w:r w:rsidRPr="00FC7A12">
        <w:rPr>
          <w:b/>
        </w:rPr>
        <w:t>Sekretarijat za lokalnu samoupravu</w:t>
      </w:r>
      <w:r w:rsidR="000F6541" w:rsidRPr="00FC7A12">
        <w:t xml:space="preserve"> u 2020</w:t>
      </w:r>
      <w:r w:rsidRPr="00FC7A12">
        <w:t>. godini vršio je poslove utvrđene Zakonom o lokalnoj samoupravi, Zakonom o državnim službenicima i namještenicima, Statutom Opštine Nikšić i Odlukom o organizaciji i načinu rada lokalne uprave Opštine Nikšić.</w:t>
      </w:r>
    </w:p>
    <w:p w:rsidR="000B2C66" w:rsidRPr="00FC7A12" w:rsidRDefault="009C2A43" w:rsidP="00E34D60">
      <w:pPr>
        <w:ind w:firstLine="709"/>
        <w:jc w:val="both"/>
      </w:pPr>
      <w:r w:rsidRPr="00FC7A12">
        <w:t xml:space="preserve">Sekretarijat je u izvještajnom periodu obavljao poslove iz oblasti </w:t>
      </w:r>
      <w:r w:rsidR="000B2C66" w:rsidRPr="00FC7A12">
        <w:t xml:space="preserve">primjene propisa o državnim službenicima i namještenicima, lokalnim službenicima i namještenicima, opštih propisa o radu, vođenja centralne kadrovske evidencije, pružanja pravne pomoći građanima, vođenja matičnih registara vjenčanih i čuvanja matičnih evidencija koje su vođene do početka primjene novih zakona o matičnim registrima, izdavanja radnih knjižica i ovjeravanja potpisa, prepisa i rukopisa i drugih oblasti. </w:t>
      </w:r>
    </w:p>
    <w:p w:rsidR="00FA4557" w:rsidRPr="00FC7A12" w:rsidRDefault="000B2C66" w:rsidP="00E34D60">
      <w:pPr>
        <w:ind w:firstLine="709"/>
        <w:jc w:val="both"/>
      </w:pPr>
      <w:r w:rsidRPr="00FC7A12">
        <w:t xml:space="preserve">U okviru poslova iz oblasti praćenja i unapređenja sistema lokalne samouprave Sekretarijat je učestvovao u izradi propisa koji se odnose na sistem lokalne samouprave. </w:t>
      </w:r>
      <w:r w:rsidR="00FA4557" w:rsidRPr="00FC7A12">
        <w:t xml:space="preserve">Učestvovao je u izradi informativnih, stručnih i drugih materijala, davao izjašnjenja i mišljenja. </w:t>
      </w:r>
    </w:p>
    <w:p w:rsidR="00FA4557" w:rsidRPr="00FC7A12" w:rsidRDefault="00FA4557" w:rsidP="00E34D60">
      <w:pPr>
        <w:ind w:firstLine="709"/>
        <w:jc w:val="both"/>
      </w:pPr>
      <w:r w:rsidRPr="00FC7A12">
        <w:t xml:space="preserve">U okviru poslova iz oblasti ljudskih resursa i upravljanja kadrovima koji su u nadležnosti Sekretarijata, u izvještajnom periodu praćeno je donošenje i primjena zakona i podzakonskih propisa iz oblasti službeničkih i radnih odnosa, kao i njihova shodna primjena na lokalne službenike, odnosno namještenike i donošenje odluka i drugih akata za lokalne službenike, odnosno namještenike.  </w:t>
      </w:r>
    </w:p>
    <w:p w:rsidR="00FA4557" w:rsidRPr="00FC7A12" w:rsidRDefault="00FA4557" w:rsidP="00E34D60">
      <w:pPr>
        <w:shd w:val="clear" w:color="auto" w:fill="FFFFFF"/>
        <w:spacing w:before="150" w:after="150"/>
        <w:ind w:firstLine="708"/>
      </w:pPr>
      <w:r w:rsidRPr="00FC7A12">
        <w:t>Programski paket, kojim je uveden novi kadrovski informacioni sistem (KIS) u okviru kojeg se vodi kadrovska evidencija i evidencija internog tržišta rada se redovno nadograđuje i prilagođava, imajući u vidu sugestije i potrebe korisnika, kao i promjene propisa.</w:t>
      </w:r>
    </w:p>
    <w:p w:rsidR="00FA4557" w:rsidRPr="00FC7A12" w:rsidRDefault="00FA4557" w:rsidP="00E34D60">
      <w:pPr>
        <w:shd w:val="clear" w:color="auto" w:fill="FFFFFF"/>
        <w:spacing w:before="150" w:after="150"/>
        <w:ind w:firstLine="708"/>
        <w:jc w:val="both"/>
        <w:rPr>
          <w:b/>
        </w:rPr>
      </w:pPr>
      <w:r w:rsidRPr="00FC7A12">
        <w:t xml:space="preserve">Upis podataka u Kadrovsku evidenciju vrši se najkasnije u roku od 15 dana od nastanka ili promjene okolnosti o kojima se vodi evidencija, shodno članu 147 </w:t>
      </w:r>
      <w:r w:rsidRPr="00FC7A12">
        <w:rPr>
          <w:lang w:val="sl-SI"/>
        </w:rPr>
        <w:t>Zakona o lokalnoj samoupravi</w:t>
      </w:r>
      <w:r w:rsidRPr="00FC7A12">
        <w:rPr>
          <w:b/>
          <w:lang w:val="sl-SI"/>
        </w:rPr>
        <w:t xml:space="preserve"> </w:t>
      </w:r>
      <w:r w:rsidRPr="00FC7A12">
        <w:rPr>
          <w:lang w:val="sl-SI"/>
        </w:rPr>
        <w:t>(</w:t>
      </w:r>
      <w:r w:rsidRPr="00FC7A12">
        <w:t>„</w:t>
      </w:r>
      <w:r w:rsidRPr="00FC7A12">
        <w:rPr>
          <w:lang w:val="sl-SI"/>
        </w:rPr>
        <w:t xml:space="preserve">Službeni list </w:t>
      </w:r>
      <w:r w:rsidRPr="00FC7A12">
        <w:rPr>
          <w:shd w:val="clear" w:color="auto" w:fill="FFFFFF"/>
        </w:rPr>
        <w:t>Crne Gore</w:t>
      </w:r>
      <w:r w:rsidRPr="00FC7A12">
        <w:t>“</w:t>
      </w:r>
      <w:r w:rsidR="00992932" w:rsidRPr="00FC7A12">
        <w:rPr>
          <w:lang w:val="sl-SI"/>
        </w:rPr>
        <w:t xml:space="preserve">, br. 02/18, </w:t>
      </w:r>
      <w:r w:rsidRPr="00FC7A12">
        <w:rPr>
          <w:lang w:val="sl-SI"/>
        </w:rPr>
        <w:t>34/19</w:t>
      </w:r>
      <w:r w:rsidR="00992932" w:rsidRPr="00FC7A12">
        <w:rPr>
          <w:lang w:val="sl-SI"/>
        </w:rPr>
        <w:t xml:space="preserve"> i 38/20</w:t>
      </w:r>
      <w:r w:rsidRPr="00FC7A12">
        <w:rPr>
          <w:lang w:val="sl-SI"/>
        </w:rPr>
        <w:t>).</w:t>
      </w:r>
      <w:r w:rsidRPr="00FC7A12">
        <w:rPr>
          <w:b/>
        </w:rPr>
        <w:t xml:space="preserve"> </w:t>
      </w:r>
    </w:p>
    <w:p w:rsidR="00FA4557" w:rsidRPr="00FC7A12" w:rsidRDefault="00FA4557" w:rsidP="00E34D60">
      <w:pPr>
        <w:ind w:firstLine="709"/>
        <w:jc w:val="both"/>
      </w:pPr>
      <w:r w:rsidRPr="00FC7A12">
        <w:t>U organima lokalne uprave za sve zaposlene, na osnovu utvrđenog Plana urađena su rješenja o godišnjim odmorima, a po zahtjevima službenika odnosno namještenika i starješina organa lokalne uprave, pripremljena i urađena su rješenja o ostalim pravima i obavezama zaposlenih iz radnog odnosa.</w:t>
      </w:r>
    </w:p>
    <w:p w:rsidR="00992932" w:rsidRPr="00FC7A12" w:rsidRDefault="00992932" w:rsidP="004E6708">
      <w:pPr>
        <w:ind w:firstLine="708"/>
        <w:jc w:val="both"/>
      </w:pPr>
      <w:r w:rsidRPr="00FC7A12">
        <w:t>Nakon dostavljanja odluke o pokretanju postupka za popunu slobodnog radnog mjesta, u izvještajnom periodu sprovedena je komleksna zakonska procededura za 16 internih oglasa, na kojima nije bilo prijavljenih kandidata i objavljenih 30 javnih oglasa za 43 slobodna radna mjesta za 49 izvršilaca za potrebe određenih organa i službi.</w:t>
      </w:r>
    </w:p>
    <w:p w:rsidR="006156DE" w:rsidRPr="00FC7A12" w:rsidRDefault="006156DE" w:rsidP="006156DE">
      <w:pPr>
        <w:ind w:firstLine="709"/>
      </w:pPr>
      <w:r w:rsidRPr="00FC7A12">
        <w:t>U postupcima inspekcijskog nadzora, upravni inspektori su vršili, po službenoj dužnosti, nadzor nad sprovođenjem Zakona o državnim službenicima i namještenicima i  Zakona o lokalnoj samoupravi, u vezi zasnivanja radnog odnosa, raspoređivanja i ispunjenosti zakonskih uslova za raspoređivanje na određeno radno mjesto, kao i ostalih prava i obaveza službenika i namještenika.</w:t>
      </w:r>
    </w:p>
    <w:p w:rsidR="006156DE" w:rsidRPr="00FC7A12" w:rsidRDefault="006156DE" w:rsidP="006156DE">
      <w:pPr>
        <w:ind w:firstLine="709"/>
      </w:pPr>
      <w:r w:rsidRPr="00FC7A12">
        <w:t>Svi postupci inspekcijskog nadzora su okončani zaklju</w:t>
      </w:r>
      <w:r w:rsidR="00362F83">
        <w:t>čkom o obustavljanju postupka, iz</w:t>
      </w:r>
      <w:r w:rsidRPr="00FC7A12">
        <w:t xml:space="preserve"> razloga što nijesu utvrđene nepravilnosti, osim jednog postupka koji je još u toku.</w:t>
      </w:r>
    </w:p>
    <w:p w:rsidR="00FA4557" w:rsidRPr="00FC7A12" w:rsidRDefault="00FA4557" w:rsidP="00DF1DA0">
      <w:pPr>
        <w:ind w:firstLine="709"/>
        <w:jc w:val="both"/>
      </w:pPr>
      <w:r w:rsidRPr="00FC7A12">
        <w:lastRenderedPageBreak/>
        <w:t>Po Planu obuka za lokalnu samoupravu – Uprave za kadrove, u saradnji sa Zajednicom opština, Ministarstvom javne uprave, Ministarstvom pravde, Notarskom komorom Crne Gore i HR Partn</w:t>
      </w:r>
      <w:r w:rsidR="00DF1DA0" w:rsidRPr="00FC7A12">
        <w:t>ers, realizovana je obuka službenika na sljedeće teme</w:t>
      </w:r>
      <w:r w:rsidRPr="00FC7A12">
        <w:t xml:space="preserve">: </w:t>
      </w:r>
      <w:r w:rsidR="00DF1DA0" w:rsidRPr="00FC7A12">
        <w:t>„Šesta radionica – Primjena novog zakonodavnog okvira za službenički sistem na lokalnom nivou“ ; „Kancelarijsko poslovanje“; „Program obrazovanja za sticanje ključnih vještina za obavljanje poslova menadžera integriteta“; „Upravljanje kriznim situacijama“  i Kurs e-Akademije NALAS-a „HRMIS.“</w:t>
      </w:r>
      <w:r w:rsidR="00DF1DA0" w:rsidRPr="00FC7A12">
        <w:tab/>
      </w:r>
    </w:p>
    <w:p w:rsidR="00FA4557" w:rsidRPr="00FC7A12" w:rsidRDefault="00FA4557" w:rsidP="00E34D60">
      <w:pPr>
        <w:ind w:firstLine="708"/>
      </w:pPr>
      <w:r w:rsidRPr="00FC7A12">
        <w:t>Matični registri vjenčanih se vode po matičnom području grada i prigradskih naselja, kao i po matičnim područjima mjesnih kancelarija.</w:t>
      </w:r>
    </w:p>
    <w:p w:rsidR="00FA4557" w:rsidRPr="00FC7A12" w:rsidRDefault="00FA4557" w:rsidP="00E34D60">
      <w:pPr>
        <w:ind w:firstLine="709"/>
      </w:pPr>
      <w:r w:rsidRPr="00FC7A12">
        <w:t xml:space="preserve">Kako je matična evidencija gradskog matičnog područja kompjuterski obrađena, to su ispunjeni uslovi za kvalitetno i ažurno pružanje usluga građanima, a to su: obavljanje vjenčanja, izdavanje izvoda iz matičnih knjiga i registara vjenčanih, izdavanje internacionalnih izvoda iz matičnih knjiga i registara vjenčanih, izdavanje uvjerenja, vršenje naknadnih upisa u matični registar vjenčanih, prosljeđivanje izvještaja o sklopljenim brakovima i dostavljanje odgovora i dopisa po zahtjevima stranaka i drugih organa i institucija. </w:t>
      </w:r>
    </w:p>
    <w:p w:rsidR="00DF1DA0" w:rsidRPr="00FC7A12" w:rsidRDefault="00FA4557" w:rsidP="00DF1DA0">
      <w:pPr>
        <w:ind w:firstLine="709"/>
      </w:pPr>
      <w:r w:rsidRPr="00FC7A12">
        <w:t>U izvj</w:t>
      </w:r>
      <w:r w:rsidR="00DF1DA0" w:rsidRPr="00FC7A12">
        <w:t>eštajnom periodu izdato je 1720</w:t>
      </w:r>
      <w:r w:rsidRPr="00FC7A12">
        <w:t xml:space="preserve"> izvoda iz matičnih knjiga i registara vj</w:t>
      </w:r>
      <w:r w:rsidR="00DF1DA0" w:rsidRPr="00FC7A12">
        <w:t>enčanih sa gradskog područja, 22</w:t>
      </w:r>
      <w:r w:rsidRPr="00FC7A12">
        <w:t xml:space="preserve"> izvoda iz matičnih knjiga i registara vjenčanih MK Lukovo, MK Trubjela, MK Bogetići i </w:t>
      </w:r>
      <w:r w:rsidR="00DF1DA0" w:rsidRPr="00FC7A12">
        <w:t>MK Grahovo, urađeno i izdato 61</w:t>
      </w:r>
      <w:r w:rsidRPr="00FC7A12">
        <w:t xml:space="preserve"> internacionalnih izvoda iz matičnih knjiga i registara vjenčanih, </w:t>
      </w:r>
      <w:r w:rsidR="00DF1DA0" w:rsidRPr="00FC7A12">
        <w:t xml:space="preserve">obavljeno 204 vjenčanja, poslato 256 izvještaja i izvršeno 32 </w:t>
      </w:r>
      <w:r w:rsidRPr="00FC7A12">
        <w:t xml:space="preserve"> </w:t>
      </w:r>
      <w:r w:rsidR="00DF1DA0" w:rsidRPr="00FC7A12">
        <w:t>naknadna</w:t>
      </w:r>
      <w:r w:rsidRPr="00FC7A12">
        <w:t xml:space="preserve"> upisa u matični registar vjenčan</w:t>
      </w:r>
      <w:r w:rsidR="00DF1DA0" w:rsidRPr="00FC7A12">
        <w:t>ih,  upisano 27 presuda, izvršeno 9</w:t>
      </w:r>
      <w:r w:rsidRPr="00FC7A12">
        <w:t xml:space="preserve"> ispravki u dijelu slovnih i drugih grešaka u matičnom registru,</w:t>
      </w:r>
      <w:r w:rsidR="00DF1DA0" w:rsidRPr="00FC7A12">
        <w:t xml:space="preserve"> po zahtjevu stranaka, upisano 5</w:t>
      </w:r>
      <w:r w:rsidRPr="00FC7A12">
        <w:t xml:space="preserve"> kon</w:t>
      </w:r>
      <w:r w:rsidR="00DF1DA0" w:rsidRPr="00FC7A12">
        <w:t xml:space="preserve">statacija o smrti bračnog druga.   </w:t>
      </w:r>
    </w:p>
    <w:p w:rsidR="00FA4557" w:rsidRPr="00FC7A12" w:rsidRDefault="00DF1DA0" w:rsidP="00DF1DA0">
      <w:r w:rsidRPr="00FC7A12">
        <w:t xml:space="preserve">      </w:t>
      </w:r>
      <w:r w:rsidR="00FA4557" w:rsidRPr="00FC7A12">
        <w:t>Ovjeravanjem potpisa, rukopisa i prepisa potvrđuje se njihova autentičnost, odnosno istovjetnost prepisa sa njegovom izvornom ispravom, što podrazumijeva posebnu odgovornost i tačnost u obavljanju ovih poslova.</w:t>
      </w:r>
    </w:p>
    <w:p w:rsidR="00FA4557" w:rsidRPr="00FC7A12" w:rsidRDefault="00DF1DA0" w:rsidP="00DF1DA0">
      <w:pPr>
        <w:ind w:firstLine="709"/>
        <w:jc w:val="both"/>
      </w:pPr>
      <w:r w:rsidRPr="00FC7A12">
        <w:t xml:space="preserve">U toku 2020. godine, a na osnovu 18.885 </w:t>
      </w:r>
      <w:r w:rsidR="00FA4557" w:rsidRPr="00FC7A12">
        <w:t xml:space="preserve"> zaht</w:t>
      </w:r>
      <w:r w:rsidRPr="00FC7A12">
        <w:t xml:space="preserve">jeva stranaka, ovjereno je 2.652 </w:t>
      </w:r>
      <w:r w:rsidR="00FA4557" w:rsidRPr="00FC7A12">
        <w:t xml:space="preserve"> potpisa</w:t>
      </w:r>
      <w:r w:rsidRPr="00FC7A12">
        <w:t xml:space="preserve">, 38.506 </w:t>
      </w:r>
      <w:r w:rsidR="00FA4557" w:rsidRPr="00FC7A12">
        <w:t xml:space="preserve"> prepisa</w:t>
      </w:r>
      <w:r w:rsidRPr="00FC7A12">
        <w:t xml:space="preserve"> i 342 potvrde o životu, </w:t>
      </w:r>
      <w:r w:rsidR="00FA4557" w:rsidRPr="00FC7A12">
        <w:t xml:space="preserve"> po osnovu čega je ostvaren prihod u izn</w:t>
      </w:r>
      <w:r w:rsidRPr="00FC7A12">
        <w:t xml:space="preserve">osu od 14.302,90 </w:t>
      </w:r>
      <w:r w:rsidR="00FA4557" w:rsidRPr="00FC7A12">
        <w:t xml:space="preserve">  €. </w:t>
      </w:r>
    </w:p>
    <w:p w:rsidR="00087ED2" w:rsidRPr="00FC7A12" w:rsidRDefault="00FA4557" w:rsidP="00087ED2">
      <w:pPr>
        <w:ind w:firstLine="709"/>
        <w:jc w:val="both"/>
      </w:pPr>
      <w:r w:rsidRPr="00FC7A12">
        <w:t xml:space="preserve">U izvještajnom periodu podnošeni su zahtjevi za </w:t>
      </w:r>
      <w:r w:rsidRPr="00362F83">
        <w:t>izdavanje radnih knjižica</w:t>
      </w:r>
      <w:r w:rsidRPr="00FC7A12">
        <w:t>, upisivanje podataka u već izdate knjižice i izdavanje uvjerenja. Po nave</w:t>
      </w:r>
      <w:r w:rsidR="00DF1DA0" w:rsidRPr="00FC7A12">
        <w:t>denim zahtjevima izdato je 855 radnih knjižica, izvršeno 609 upisa kvalifikacija, 102</w:t>
      </w:r>
      <w:r w:rsidRPr="00FC7A12">
        <w:t xml:space="preserve"> promjen</w:t>
      </w:r>
      <w:r w:rsidR="00362F83">
        <w:t>a prezimena, izdata su četiri</w:t>
      </w:r>
      <w:r w:rsidRPr="00FC7A12">
        <w:t xml:space="preserve"> uvjerenja o neposjedovanju radne knjižice.</w:t>
      </w:r>
      <w:r w:rsidR="00362F83">
        <w:t xml:space="preserve"> </w:t>
      </w:r>
      <w:r w:rsidR="00087ED2" w:rsidRPr="00FC7A12">
        <w:t>U navedenom periodu izdato je 20 volonterskih radnih knjižica. Završeni su abecedni imenici o izdatim radnim i volonterskim knjižicama za 2020. godinu.</w:t>
      </w:r>
    </w:p>
    <w:p w:rsidR="00087ED2" w:rsidRPr="00FC7A12" w:rsidRDefault="00087ED2" w:rsidP="00087ED2">
      <w:pPr>
        <w:ind w:firstLine="709"/>
        <w:jc w:val="both"/>
      </w:pPr>
      <w:r w:rsidRPr="00362F83">
        <w:t>U mjesnim kancelarijama</w:t>
      </w:r>
      <w:r w:rsidRPr="00FC7A12">
        <w:t>, u izvj</w:t>
      </w:r>
      <w:r w:rsidR="00362F83">
        <w:t>eštajnom periodu, obavljena su tri</w:t>
      </w:r>
      <w:r w:rsidRPr="00FC7A12">
        <w:t xml:space="preserve"> vjenčanja, izdat 361 izvod iz matičnih</w:t>
      </w:r>
      <w:r w:rsidR="00362F83">
        <w:t xml:space="preserve"> knjiga i registara vjenčanih, jedan</w:t>
      </w:r>
      <w:r w:rsidRPr="00FC7A12">
        <w:t xml:space="preserve"> internacionalni izvod iz matičnih knjiga i registara vjenčanih, 7 uvjerenja iz matičnih knjiga i registara vjenčanih, izvršeno 88 provjera za potrebe MUP-a CG – PJ Nikšić, izdate 63 potvrde o životu, 7 potvrda o posjedovanju grobnog mjesta, upisane 2 presuda i 5 konstatacija o smrti bračnog druga. </w:t>
      </w:r>
    </w:p>
    <w:p w:rsidR="00087ED2" w:rsidRPr="00FC7A12" w:rsidRDefault="00087ED2" w:rsidP="00087ED2">
      <w:pPr>
        <w:ind w:firstLine="709"/>
        <w:jc w:val="both"/>
      </w:pPr>
      <w:r w:rsidRPr="00FC7A12">
        <w:t>Redovni poslovi u mjesnim kancelarijama su bili i dostavljanje raznih izvještaja, statističkih podataka, spiskova, dopisa i sl. za potrebe: Zavoda za statistiku Crne Gore, Ministarstva unutrašnjih poslova, Ministarstva za poljoprivredu i ruralni razvoj, Centra za socijalni rad, organa lokalne uprave, sudova, škola, inspekcijskih službi i drugih organa i institucija.</w:t>
      </w:r>
    </w:p>
    <w:p w:rsidR="00087ED2" w:rsidRPr="00FC7A12" w:rsidRDefault="00087ED2" w:rsidP="00087ED2">
      <w:pPr>
        <w:ind w:firstLine="709"/>
        <w:jc w:val="both"/>
        <w:rPr>
          <w:lang w:val="sr-Latn-RS"/>
        </w:rPr>
      </w:pPr>
      <w:r w:rsidRPr="00FC7A12">
        <w:t xml:space="preserve">U izvještajnom periodu, građani su se kao stranke, obraćali Birou za pravnu pomoć radi </w:t>
      </w:r>
      <w:r w:rsidRPr="00FC7A12">
        <w:rPr>
          <w:u w:val="single"/>
        </w:rPr>
        <w:t>pružanja pravne pomoći</w:t>
      </w:r>
      <w:r w:rsidRPr="00FC7A12">
        <w:t xml:space="preserve"> iz različitih pravnih oblasti, i to: </w:t>
      </w:r>
      <w:r w:rsidRPr="00FC7A12">
        <w:rPr>
          <w:lang w:val="sr-Latn-RS"/>
        </w:rPr>
        <w:t>pružanje pravne pomoći građanima u ostvarivanju prava i interesa pred nadležnim organima, primanje zahtjeva, obrađivanje predmeta i pokretanje postupka pred nadležnim organima, sastavljanje molbi, predloga, žalbi, tužbi i drugih akata, davanje usmenih i pismenih savjeta građanima, obavljanje i drugih poslova u cilju pružanja pravne pomoći.</w:t>
      </w:r>
    </w:p>
    <w:p w:rsidR="00087ED2" w:rsidRPr="00FC7A12" w:rsidRDefault="00087ED2" w:rsidP="00087ED2">
      <w:pPr>
        <w:jc w:val="both"/>
        <w:rPr>
          <w:lang w:val="sr-Latn-RS"/>
        </w:rPr>
      </w:pPr>
      <w:r w:rsidRPr="00FC7A12">
        <w:rPr>
          <w:lang w:val="sr-Latn-RS"/>
        </w:rPr>
        <w:lastRenderedPageBreak/>
        <w:tab/>
        <w:t>U izvještajnom periodu Biro je pokretao sledeće postupke - pisao tužbe za: razvod braka, plaćanje alimentacije, povjeravanje djece, uređenje kontakta sa djecom,  utvrđivanja očinstva, preinačenje presude. Takođe, pokretao je krivične postupke (pisanje krivičnih prijava) protiv nesavjesnih roditelja, zbog nedavanja izdržavanja kod nadležnog suda kako bi se ostvarila prava djeteta na izdržavanje.</w:t>
      </w:r>
    </w:p>
    <w:p w:rsidR="00087ED2" w:rsidRPr="00FC7A12" w:rsidRDefault="00087ED2" w:rsidP="00087ED2">
      <w:pPr>
        <w:ind w:firstLine="708"/>
        <w:jc w:val="both"/>
        <w:rPr>
          <w:lang w:val="sr-Latn-RS"/>
        </w:rPr>
      </w:pPr>
      <w:r w:rsidRPr="00FC7A12">
        <w:rPr>
          <w:lang w:val="sr-Latn-RS"/>
        </w:rPr>
        <w:t xml:space="preserve"> Pokrenut je veliki broj postupaka za izvršenje sudske presude, jer bez dokaza o pokrenutom postupku izvršenja i potvrde da nijesu naplaćena sredstva za izdržavanje djece, stranka nijesu mogle ostvariti materijalno obezbjeđenje porodice kod nadležnog Centra za socijalni rad, pa se veliki broj stranaka tim povodom obraćao Birou zahtjevom za pisanje predloga za izvršenje, kako na zaradi izvršnog dužnika tako i na  drugim sredstvima izvršenja.</w:t>
      </w:r>
    </w:p>
    <w:p w:rsidR="00087ED2" w:rsidRPr="00FC7A12" w:rsidRDefault="00087ED2" w:rsidP="00087ED2">
      <w:pPr>
        <w:ind w:firstLine="708"/>
        <w:jc w:val="both"/>
        <w:rPr>
          <w:lang w:val="sr-Latn-RS"/>
        </w:rPr>
      </w:pPr>
      <w:r w:rsidRPr="00FC7A12">
        <w:rPr>
          <w:lang w:val="sr-Latn-RS"/>
        </w:rPr>
        <w:t>U izvještajnom periodu Biro je pisao i žalbe, najviše na rješenja Centra za socijalni rad zbog odbijanja zahtjeva stranaka za ličnu invalidninu, tuđu njegu i pomoć, materijalno obezbjeđenje porodice kao i druga prava iz socijalne i dječje zaštite. Urađen je i određeni broj tužbi Upravnom sudu na drugostepena rješenja Ministarstva rada i socijalnog staranja.</w:t>
      </w:r>
    </w:p>
    <w:p w:rsidR="008761C0" w:rsidRPr="00FC7A12" w:rsidRDefault="00C7244E" w:rsidP="00C7244E">
      <w:pPr>
        <w:jc w:val="both"/>
      </w:pPr>
      <w:r w:rsidRPr="00FC7A12">
        <w:t xml:space="preserve">            </w:t>
      </w:r>
      <w:r w:rsidR="008761C0" w:rsidRPr="00FC7A12">
        <w:t xml:space="preserve">Sektor za informacioni sistem je tokom 2020. godine realizovao više aktivnosti u cilju unapređenja informacionog sistema. Urađen je  aplikativni program za elektronsko testiranje kandidata i program za matični registar vjenčanih. </w:t>
      </w:r>
    </w:p>
    <w:p w:rsidR="008761C0" w:rsidRPr="00FC7A12" w:rsidRDefault="008761C0" w:rsidP="008761C0">
      <w:pPr>
        <w:ind w:firstLine="708"/>
        <w:jc w:val="both"/>
      </w:pPr>
      <w:r w:rsidRPr="00FC7A12">
        <w:t>U  culju povećanja kvaliteta i komfora u radu lokalnih mreža koje pripadaju različitim organima uprave (</w:t>
      </w:r>
      <w:r w:rsidR="00C7244E" w:rsidRPr="00FC7A12">
        <w:t xml:space="preserve">u </w:t>
      </w:r>
      <w:r w:rsidRPr="00FC7A12">
        <w:t>gradi Opštine postoji nekoliko lokalnih mreža), izvršeno je njihovo umrežavanje čime je postignuto da imaju pristup bazama podataka i dokumentima kroz lokalnu mrežu, kao i mogućnost razmjene podataka između  radnih stanica gdje je to potrebno. Za ovu svrhu koristi se mrežni uređaj (</w:t>
      </w:r>
      <w:r w:rsidRPr="00FC7A12">
        <w:rPr>
          <w:rStyle w:val="lang-en"/>
        </w:rPr>
        <w:t>switch layer 3</w:t>
      </w:r>
      <w:r w:rsidRPr="00FC7A12">
        <w:t>) koji objedinjuje sve lokalne mreže lokalne uprave i povezuje ih sa serverima i Internetom.</w:t>
      </w:r>
    </w:p>
    <w:p w:rsidR="008761C0" w:rsidRPr="00FC7A12" w:rsidRDefault="008761C0" w:rsidP="008761C0">
      <w:pPr>
        <w:jc w:val="both"/>
      </w:pPr>
    </w:p>
    <w:p w:rsidR="001E0992" w:rsidRPr="00FC7A12" w:rsidRDefault="001E0992" w:rsidP="00E34D60">
      <w:pPr>
        <w:jc w:val="center"/>
      </w:pPr>
      <w:r w:rsidRPr="00FC7A12">
        <w:t>*</w:t>
      </w:r>
    </w:p>
    <w:p w:rsidR="001E0992" w:rsidRPr="00FC7A12" w:rsidRDefault="001E0992" w:rsidP="00E34D60">
      <w:pPr>
        <w:jc w:val="both"/>
      </w:pPr>
    </w:p>
    <w:p w:rsidR="00715965" w:rsidRPr="00FC7A12" w:rsidRDefault="001E0992" w:rsidP="00E34D60">
      <w:pPr>
        <w:jc w:val="both"/>
        <w:rPr>
          <w:color w:val="000000" w:themeColor="text1"/>
        </w:rPr>
      </w:pPr>
      <w:r w:rsidRPr="00FC7A12">
        <w:tab/>
      </w:r>
      <w:r w:rsidR="00261E30" w:rsidRPr="00FC7A12">
        <w:rPr>
          <w:color w:val="000000" w:themeColor="text1"/>
        </w:rPr>
        <w:t xml:space="preserve"> </w:t>
      </w:r>
      <w:r w:rsidRPr="00FC7A12">
        <w:rPr>
          <w:b/>
          <w:bCs/>
          <w:color w:val="000000" w:themeColor="text1"/>
        </w:rPr>
        <w:t>Služba za zajedničke poslove</w:t>
      </w:r>
      <w:r w:rsidRPr="00FC7A12">
        <w:rPr>
          <w:color w:val="000000" w:themeColor="text1"/>
        </w:rPr>
        <w:t xml:space="preserve"> koja servisira organe i druge službe lokalne uprave u administrativno- tehničkom smislu, sprovodila je kancelarijsko poslovanje na savre</w:t>
      </w:r>
      <w:r w:rsidR="00261E30" w:rsidRPr="00FC7A12">
        <w:rPr>
          <w:color w:val="000000" w:themeColor="text1"/>
        </w:rPr>
        <w:t xml:space="preserve">men način i evidentirala  </w:t>
      </w:r>
      <w:r w:rsidR="00A65E40" w:rsidRPr="00FC7A12">
        <w:rPr>
          <w:color w:val="000000" w:themeColor="text1"/>
        </w:rPr>
        <w:t>14812</w:t>
      </w:r>
      <w:r w:rsidR="00715965" w:rsidRPr="00FC7A12">
        <w:rPr>
          <w:b/>
          <w:color w:val="000000" w:themeColor="text1"/>
        </w:rPr>
        <w:t xml:space="preserve"> </w:t>
      </w:r>
      <w:r w:rsidRPr="00FC7A12">
        <w:rPr>
          <w:color w:val="000000" w:themeColor="text1"/>
        </w:rPr>
        <w:t>ak</w:t>
      </w:r>
      <w:r w:rsidR="0062275F" w:rsidRPr="00FC7A12">
        <w:rPr>
          <w:color w:val="000000" w:themeColor="text1"/>
        </w:rPr>
        <w:t>a</w:t>
      </w:r>
      <w:r w:rsidR="00715965" w:rsidRPr="00FC7A12">
        <w:rPr>
          <w:color w:val="000000" w:themeColor="text1"/>
        </w:rPr>
        <w:t xml:space="preserve">t </w:t>
      </w:r>
      <w:r w:rsidR="00261E30" w:rsidRPr="00FC7A12">
        <w:rPr>
          <w:color w:val="000000" w:themeColor="text1"/>
        </w:rPr>
        <w:t xml:space="preserve">, </w:t>
      </w:r>
      <w:r w:rsidR="00715965" w:rsidRPr="00FC7A12">
        <w:rPr>
          <w:color w:val="000000" w:themeColor="text1"/>
        </w:rPr>
        <w:t>od čega je u u</w:t>
      </w:r>
      <w:r w:rsidR="00E01191" w:rsidRPr="00FC7A12">
        <w:rPr>
          <w:color w:val="000000" w:themeColor="text1"/>
        </w:rPr>
        <w:t>p</w:t>
      </w:r>
      <w:r w:rsidR="00A65E40" w:rsidRPr="00FC7A12">
        <w:rPr>
          <w:color w:val="000000" w:themeColor="text1"/>
        </w:rPr>
        <w:t>isniku po zahtjevu stranke 1391</w:t>
      </w:r>
      <w:r w:rsidR="00715965" w:rsidRPr="00FC7A12">
        <w:rPr>
          <w:color w:val="000000" w:themeColor="text1"/>
        </w:rPr>
        <w:t>, u upis</w:t>
      </w:r>
      <w:r w:rsidR="00A65E40" w:rsidRPr="00FC7A12">
        <w:rPr>
          <w:color w:val="000000" w:themeColor="text1"/>
        </w:rPr>
        <w:t>niku po službenoj dužnosti 1728</w:t>
      </w:r>
      <w:r w:rsidR="00715965" w:rsidRPr="00FC7A12">
        <w:rPr>
          <w:color w:val="000000" w:themeColor="text1"/>
        </w:rPr>
        <w:t>, u up</w:t>
      </w:r>
      <w:r w:rsidR="00E01191" w:rsidRPr="00FC7A12">
        <w:rPr>
          <w:color w:val="000000" w:themeColor="text1"/>
        </w:rPr>
        <w:t>i</w:t>
      </w:r>
      <w:r w:rsidR="00A65E40" w:rsidRPr="00FC7A12">
        <w:rPr>
          <w:color w:val="000000" w:themeColor="text1"/>
        </w:rPr>
        <w:t>sniku drugostepenog postupka 49, u upisniku uvjerenja 1356</w:t>
      </w:r>
      <w:r w:rsidR="00715965" w:rsidRPr="00FC7A12">
        <w:rPr>
          <w:color w:val="000000" w:themeColor="text1"/>
        </w:rPr>
        <w:t xml:space="preserve"> i djelovo</w:t>
      </w:r>
      <w:r w:rsidR="00A65E40" w:rsidRPr="00FC7A12">
        <w:rPr>
          <w:color w:val="000000" w:themeColor="text1"/>
        </w:rPr>
        <w:t>dniku 10288</w:t>
      </w:r>
      <w:r w:rsidR="00715965" w:rsidRPr="00FC7A12">
        <w:rPr>
          <w:color w:val="000000" w:themeColor="text1"/>
        </w:rPr>
        <w:t xml:space="preserve"> akata.</w:t>
      </w:r>
    </w:p>
    <w:p w:rsidR="00F51A6A" w:rsidRPr="00FC7A12" w:rsidRDefault="00447DB0" w:rsidP="00E34D60">
      <w:pPr>
        <w:ind w:firstLine="708"/>
        <w:rPr>
          <w:color w:val="000000" w:themeColor="text1"/>
        </w:rPr>
      </w:pPr>
      <w:r w:rsidRPr="00FC7A12">
        <w:rPr>
          <w:color w:val="000000" w:themeColor="text1"/>
        </w:rPr>
        <w:t>Ukupno je ovjeren</w:t>
      </w:r>
      <w:r w:rsidR="00A65E40" w:rsidRPr="00FC7A12">
        <w:rPr>
          <w:color w:val="000000" w:themeColor="text1"/>
        </w:rPr>
        <w:t>o oko 310</w:t>
      </w:r>
      <w:r w:rsidR="00E01191" w:rsidRPr="00FC7A12">
        <w:rPr>
          <w:color w:val="000000" w:themeColor="text1"/>
        </w:rPr>
        <w:t>.000</w:t>
      </w:r>
      <w:r w:rsidR="00F51A6A" w:rsidRPr="00FC7A12">
        <w:rPr>
          <w:color w:val="000000" w:themeColor="text1"/>
        </w:rPr>
        <w:t xml:space="preserve"> akata.</w:t>
      </w:r>
    </w:p>
    <w:p w:rsidR="00F51A6A" w:rsidRPr="00FC7A12" w:rsidRDefault="00F51A6A" w:rsidP="00E34D60">
      <w:pPr>
        <w:ind w:firstLine="708"/>
        <w:jc w:val="both"/>
        <w:rPr>
          <w:color w:val="000000" w:themeColor="text1"/>
        </w:rPr>
      </w:pPr>
      <w:r w:rsidRPr="00FC7A12">
        <w:rPr>
          <w:color w:val="000000" w:themeColor="text1"/>
        </w:rPr>
        <w:t>Preko ovo</w:t>
      </w:r>
      <w:r w:rsidR="00447DB0" w:rsidRPr="00FC7A12">
        <w:rPr>
          <w:color w:val="000000" w:themeColor="text1"/>
        </w:rPr>
        <w:t xml:space="preserve">g odjeljenja uredno su izvršavani </w:t>
      </w:r>
      <w:r w:rsidRPr="00FC7A12">
        <w:rPr>
          <w:color w:val="000000" w:themeColor="text1"/>
        </w:rPr>
        <w:t>poslovi koji se odnose na  tekuće i investiciono održavanje objekata u kojima su smješteni organi uprave, mjesne kancelarije i mjesne zajednice, poslovi osiguranja službenika i imovine Opštine, poslovi koji se odnose na  korišćenje, održavanje i evidenciju službenih vozila, pomoćno-tehnički poslovi u vezi sa upotrebom i zaštitom zastave i grba Opštine, poslovi pružanja ugostiteljskih usluga za organe i službe, poslovi održavanja higijene službenih prostorija.</w:t>
      </w:r>
    </w:p>
    <w:p w:rsidR="00273066" w:rsidRPr="00FC7A12" w:rsidRDefault="00273066" w:rsidP="00E34D60">
      <w:pPr>
        <w:jc w:val="both"/>
        <w:rPr>
          <w:color w:val="000000" w:themeColor="text1"/>
        </w:rPr>
      </w:pPr>
    </w:p>
    <w:p w:rsidR="007318CE" w:rsidRPr="00FC7A12" w:rsidRDefault="001E0992" w:rsidP="00E34D60">
      <w:pPr>
        <w:jc w:val="center"/>
      </w:pPr>
      <w:r w:rsidRPr="00FC7A12">
        <w:t>*</w:t>
      </w:r>
    </w:p>
    <w:p w:rsidR="00FB7669" w:rsidRPr="00FC7A12" w:rsidRDefault="00FB7669" w:rsidP="00E34D60">
      <w:pPr>
        <w:autoSpaceDE w:val="0"/>
        <w:autoSpaceDN w:val="0"/>
        <w:adjustRightInd w:val="0"/>
        <w:ind w:firstLine="720"/>
        <w:jc w:val="both"/>
        <w:rPr>
          <w:b/>
        </w:rPr>
      </w:pPr>
    </w:p>
    <w:p w:rsidR="00FB7669" w:rsidRPr="00FC7A12" w:rsidRDefault="00FB7669" w:rsidP="00E34D60">
      <w:pPr>
        <w:jc w:val="center"/>
        <w:rPr>
          <w:b/>
        </w:rPr>
      </w:pPr>
    </w:p>
    <w:p w:rsidR="00FB7669" w:rsidRPr="00FC7A12" w:rsidRDefault="00FB7669" w:rsidP="00E34D60">
      <w:pPr>
        <w:ind w:firstLine="720"/>
        <w:jc w:val="both"/>
      </w:pPr>
      <w:r w:rsidRPr="00FC7A12">
        <w:rPr>
          <w:b/>
        </w:rPr>
        <w:t>Sekretarijat za kulturu, sport, mlade i socijalno staranje</w:t>
      </w:r>
      <w:r w:rsidR="00534AA0" w:rsidRPr="00FC7A12">
        <w:t xml:space="preserve"> je u 2020</w:t>
      </w:r>
      <w:r w:rsidRPr="00FC7A12">
        <w:t xml:space="preserve">. godini, u skladu sa zakonskim propisima, uređivao odnose i obezbjeđivao primjenu propisa i drugih akata iz oblasti kulture, socijalne i dječije zaštite, sporta i obrazovanja. Pripremani su predlozi opštinskih odluka i drugih akata, vršen je upravni nadzor tj. nadzor nad zakonitošću akata i cjelishodnošću rada javnih ustanova iz ovih oblasti, čiji je osnivač Opština. Sprovedene su aktivnosti u vezi sa primjenom </w:t>
      </w:r>
      <w:r w:rsidRPr="00FC7A12">
        <w:lastRenderedPageBreak/>
        <w:t>propisa Opštine o dodjeli stipendija studentima, u prvom stepenu, kao prenesene poslove iz oblasti boračke i invalidske zaštite, rješavano je o pravima iz oblasti boračke i invalidske zaštite i zaštite civilnih invalida rata i vođena je evidencija o korisnicima prava. Organizovani su i poslovi koji se odnose na prevenciju i suzbijanje problema narkomanije, a sprovođena je i politika za mlade. Takođe, svakodnevno su obavljani i drugi poslovi u skladu sa zakonom propisanim nadležnostima.</w:t>
      </w:r>
    </w:p>
    <w:p w:rsidR="00534AA0" w:rsidRPr="00FC7A12" w:rsidRDefault="00273066" w:rsidP="00E34D60">
      <w:pPr>
        <w:ind w:firstLine="720"/>
        <w:jc w:val="both"/>
      </w:pPr>
      <w:r w:rsidRPr="00FC7A12">
        <w:t>Situacija izazvana pandemijom virusa COVID 19 je negativno  uticala na organizovanje kulturnih aktivnosti. Zbog epidemioloških mjera propisanih u cilju sprečavanja virusa, bilo je moguće realizovati  nekoliko desetina raznovrsnih kulturnih sadražaja od čega je jedan broj organizovan putem dostupnih online platformi.</w:t>
      </w:r>
    </w:p>
    <w:p w:rsidR="00273066" w:rsidRPr="00FC7A12" w:rsidRDefault="00273066" w:rsidP="00273066">
      <w:pPr>
        <w:ind w:firstLine="720"/>
        <w:jc w:val="both"/>
      </w:pPr>
      <w:r w:rsidRPr="00FC7A12">
        <w:t xml:space="preserve">U okviru programskog koncepta „Nikšićka kulturna scena“ u 2020. godini ukupno je realizovano </w:t>
      </w:r>
      <w:r w:rsidRPr="00FC7A12">
        <w:rPr>
          <w:b/>
        </w:rPr>
        <w:t xml:space="preserve">36 </w:t>
      </w:r>
      <w:r w:rsidRPr="00FC7A12">
        <w:t xml:space="preserve">raznovrsnih programskih sadržaja, dok je samo jedan program upriličen van Nikšića. Publika je neposredno mogla da uživa u 22 kulturna dešavanja, dok je 14 programa realizovano putem raznoraznih </w:t>
      </w:r>
      <w:r w:rsidRPr="00FC7A12">
        <w:rPr>
          <w:i/>
        </w:rPr>
        <w:t>online</w:t>
      </w:r>
      <w:r w:rsidRPr="00FC7A12">
        <w:t xml:space="preserve"> platformi. Ovakav vid prikazivanja kulturnih sadržaja omogućio je, da osim nikšićke publike pomenute programe prate i gledaoci iz gotovo cijelog svijeta. Imajući u vidu činjenicu da se ti programi i dalje nalaze na internet platformama, broj gledalaca ovih sadržaja u stalnom je porastu. </w:t>
      </w:r>
    </w:p>
    <w:p w:rsidR="00273066" w:rsidRPr="00FC7A12" w:rsidRDefault="00273066" w:rsidP="00E141C1">
      <w:pPr>
        <w:jc w:val="both"/>
      </w:pPr>
    </w:p>
    <w:p w:rsidR="00273066" w:rsidRPr="00FC7A12" w:rsidRDefault="00273066" w:rsidP="00273066">
      <w:pPr>
        <w:jc w:val="both"/>
      </w:pPr>
      <w:r w:rsidRPr="00FC7A12">
        <w:t>Tabelarni prikaz realizovanih programa na mjesečnom nivou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2160"/>
        <w:gridCol w:w="2834"/>
      </w:tblGrid>
      <w:tr w:rsidR="00273066" w:rsidRPr="00FC7A12" w:rsidTr="003539AC">
        <w:tc>
          <w:tcPr>
            <w:tcW w:w="3528" w:type="dxa"/>
            <w:shd w:val="clear" w:color="auto" w:fill="D9D9D9"/>
          </w:tcPr>
          <w:p w:rsidR="00273066" w:rsidRPr="00FC7A12" w:rsidRDefault="00273066" w:rsidP="003539AC">
            <w:pPr>
              <w:jc w:val="both"/>
              <w:rPr>
                <w:b/>
                <w:i/>
              </w:rPr>
            </w:pPr>
            <w:r w:rsidRPr="00FC7A12">
              <w:rPr>
                <w:b/>
                <w:i/>
              </w:rPr>
              <w:t>Mjesec</w:t>
            </w:r>
          </w:p>
        </w:tc>
        <w:tc>
          <w:tcPr>
            <w:tcW w:w="2160" w:type="dxa"/>
            <w:shd w:val="clear" w:color="auto" w:fill="D9D9D9"/>
          </w:tcPr>
          <w:p w:rsidR="00273066" w:rsidRPr="00FC7A12" w:rsidRDefault="00273066" w:rsidP="003539AC">
            <w:pPr>
              <w:rPr>
                <w:b/>
                <w:i/>
              </w:rPr>
            </w:pPr>
            <w:r w:rsidRPr="00FC7A12">
              <w:rPr>
                <w:b/>
                <w:i/>
              </w:rPr>
              <w:t>Broj realizovanih programa</w:t>
            </w:r>
          </w:p>
        </w:tc>
        <w:tc>
          <w:tcPr>
            <w:tcW w:w="2834" w:type="dxa"/>
            <w:shd w:val="clear" w:color="auto" w:fill="D9D9D9"/>
          </w:tcPr>
          <w:p w:rsidR="00273066" w:rsidRPr="00FC7A12" w:rsidRDefault="00273066" w:rsidP="003539AC">
            <w:pPr>
              <w:jc w:val="both"/>
              <w:rPr>
                <w:b/>
                <w:i/>
              </w:rPr>
            </w:pPr>
            <w:r w:rsidRPr="00FC7A12">
              <w:rPr>
                <w:b/>
                <w:i/>
              </w:rPr>
              <w:t xml:space="preserve">Broj programa </w:t>
            </w:r>
          </w:p>
          <w:p w:rsidR="00273066" w:rsidRPr="00FC7A12" w:rsidRDefault="00273066" w:rsidP="003539AC">
            <w:pPr>
              <w:jc w:val="both"/>
              <w:rPr>
                <w:b/>
                <w:i/>
              </w:rPr>
            </w:pPr>
            <w:r w:rsidRPr="00FC7A12">
              <w:rPr>
                <w:b/>
                <w:i/>
              </w:rPr>
              <w:t>realizovanihputem online platformi</w:t>
            </w:r>
          </w:p>
        </w:tc>
      </w:tr>
      <w:tr w:rsidR="00273066" w:rsidRPr="00FC7A12" w:rsidTr="003539AC">
        <w:tc>
          <w:tcPr>
            <w:tcW w:w="3528" w:type="dxa"/>
          </w:tcPr>
          <w:p w:rsidR="00273066" w:rsidRPr="00FC7A12" w:rsidRDefault="00273066" w:rsidP="003539AC">
            <w:pPr>
              <w:jc w:val="both"/>
            </w:pPr>
            <w:r w:rsidRPr="00FC7A12">
              <w:t>Februar</w:t>
            </w:r>
          </w:p>
        </w:tc>
        <w:tc>
          <w:tcPr>
            <w:tcW w:w="2160" w:type="dxa"/>
          </w:tcPr>
          <w:p w:rsidR="00273066" w:rsidRPr="00FC7A12" w:rsidRDefault="00273066" w:rsidP="003539AC">
            <w:pPr>
              <w:jc w:val="center"/>
            </w:pPr>
            <w:r w:rsidRPr="00FC7A12">
              <w:t>12</w:t>
            </w:r>
          </w:p>
        </w:tc>
        <w:tc>
          <w:tcPr>
            <w:tcW w:w="2834" w:type="dxa"/>
          </w:tcPr>
          <w:p w:rsidR="00273066" w:rsidRPr="00FC7A12" w:rsidRDefault="00273066" w:rsidP="003539AC">
            <w:pPr>
              <w:jc w:val="center"/>
            </w:pPr>
          </w:p>
        </w:tc>
      </w:tr>
      <w:tr w:rsidR="00273066" w:rsidRPr="00FC7A12" w:rsidTr="003539AC">
        <w:tc>
          <w:tcPr>
            <w:tcW w:w="3528" w:type="dxa"/>
          </w:tcPr>
          <w:p w:rsidR="00273066" w:rsidRPr="00FC7A12" w:rsidRDefault="00273066" w:rsidP="003539AC">
            <w:pPr>
              <w:jc w:val="both"/>
            </w:pPr>
            <w:r w:rsidRPr="00FC7A12">
              <w:t>Mart</w:t>
            </w:r>
          </w:p>
        </w:tc>
        <w:tc>
          <w:tcPr>
            <w:tcW w:w="2160" w:type="dxa"/>
          </w:tcPr>
          <w:p w:rsidR="00273066" w:rsidRPr="00FC7A12" w:rsidRDefault="00273066" w:rsidP="003539AC">
            <w:pPr>
              <w:jc w:val="center"/>
            </w:pPr>
            <w:r w:rsidRPr="00FC7A12">
              <w:t>4</w:t>
            </w:r>
          </w:p>
        </w:tc>
        <w:tc>
          <w:tcPr>
            <w:tcW w:w="2834" w:type="dxa"/>
          </w:tcPr>
          <w:p w:rsidR="00273066" w:rsidRPr="00FC7A12" w:rsidRDefault="00273066" w:rsidP="003539AC">
            <w:pPr>
              <w:jc w:val="center"/>
            </w:pPr>
          </w:p>
        </w:tc>
      </w:tr>
      <w:tr w:rsidR="00273066" w:rsidRPr="00FC7A12" w:rsidTr="003539AC">
        <w:tc>
          <w:tcPr>
            <w:tcW w:w="3528" w:type="dxa"/>
          </w:tcPr>
          <w:p w:rsidR="00273066" w:rsidRPr="00FC7A12" w:rsidRDefault="00273066" w:rsidP="003539AC">
            <w:pPr>
              <w:jc w:val="both"/>
            </w:pPr>
            <w:r w:rsidRPr="00FC7A12">
              <w:t>Jun</w:t>
            </w:r>
          </w:p>
        </w:tc>
        <w:tc>
          <w:tcPr>
            <w:tcW w:w="2160" w:type="dxa"/>
          </w:tcPr>
          <w:p w:rsidR="00273066" w:rsidRPr="00FC7A12" w:rsidRDefault="00273066" w:rsidP="003539AC">
            <w:pPr>
              <w:jc w:val="center"/>
            </w:pPr>
            <w:r w:rsidRPr="00FC7A12">
              <w:t>1</w:t>
            </w:r>
          </w:p>
        </w:tc>
        <w:tc>
          <w:tcPr>
            <w:tcW w:w="2834" w:type="dxa"/>
          </w:tcPr>
          <w:p w:rsidR="00273066" w:rsidRPr="00FC7A12" w:rsidRDefault="00273066" w:rsidP="003539AC">
            <w:pPr>
              <w:jc w:val="center"/>
            </w:pPr>
          </w:p>
        </w:tc>
      </w:tr>
      <w:tr w:rsidR="00273066" w:rsidRPr="00FC7A12" w:rsidTr="003539AC">
        <w:tc>
          <w:tcPr>
            <w:tcW w:w="3528" w:type="dxa"/>
          </w:tcPr>
          <w:p w:rsidR="00273066" w:rsidRPr="00FC7A12" w:rsidRDefault="00273066" w:rsidP="003539AC">
            <w:pPr>
              <w:jc w:val="both"/>
            </w:pPr>
            <w:r w:rsidRPr="00FC7A12">
              <w:t>Avgust</w:t>
            </w:r>
          </w:p>
        </w:tc>
        <w:tc>
          <w:tcPr>
            <w:tcW w:w="2160" w:type="dxa"/>
          </w:tcPr>
          <w:p w:rsidR="00273066" w:rsidRPr="00FC7A12" w:rsidRDefault="00273066" w:rsidP="003539AC">
            <w:pPr>
              <w:jc w:val="center"/>
            </w:pPr>
          </w:p>
        </w:tc>
        <w:tc>
          <w:tcPr>
            <w:tcW w:w="2834" w:type="dxa"/>
          </w:tcPr>
          <w:p w:rsidR="00273066" w:rsidRPr="00FC7A12" w:rsidRDefault="00273066" w:rsidP="003539AC">
            <w:pPr>
              <w:jc w:val="center"/>
            </w:pPr>
            <w:r w:rsidRPr="00FC7A12">
              <w:t>4</w:t>
            </w:r>
          </w:p>
        </w:tc>
      </w:tr>
      <w:tr w:rsidR="00273066" w:rsidRPr="00FC7A12" w:rsidTr="003539AC">
        <w:tc>
          <w:tcPr>
            <w:tcW w:w="3528" w:type="dxa"/>
          </w:tcPr>
          <w:p w:rsidR="00273066" w:rsidRPr="00FC7A12" w:rsidRDefault="00273066" w:rsidP="003539AC">
            <w:pPr>
              <w:jc w:val="both"/>
            </w:pPr>
            <w:r w:rsidRPr="00FC7A12">
              <w:t>Septembar</w:t>
            </w:r>
          </w:p>
        </w:tc>
        <w:tc>
          <w:tcPr>
            <w:tcW w:w="2160" w:type="dxa"/>
          </w:tcPr>
          <w:p w:rsidR="00273066" w:rsidRPr="00FC7A12" w:rsidRDefault="00273066" w:rsidP="003539AC">
            <w:pPr>
              <w:jc w:val="center"/>
            </w:pPr>
            <w:r w:rsidRPr="00FC7A12">
              <w:t>3</w:t>
            </w:r>
          </w:p>
        </w:tc>
        <w:tc>
          <w:tcPr>
            <w:tcW w:w="2834" w:type="dxa"/>
          </w:tcPr>
          <w:p w:rsidR="00273066" w:rsidRPr="00FC7A12" w:rsidRDefault="00273066" w:rsidP="003539AC">
            <w:pPr>
              <w:jc w:val="center"/>
            </w:pPr>
            <w:r w:rsidRPr="00FC7A12">
              <w:t>2</w:t>
            </w:r>
          </w:p>
        </w:tc>
      </w:tr>
      <w:tr w:rsidR="00273066" w:rsidRPr="00FC7A12" w:rsidTr="003539AC">
        <w:tc>
          <w:tcPr>
            <w:tcW w:w="3528" w:type="dxa"/>
          </w:tcPr>
          <w:p w:rsidR="00273066" w:rsidRPr="00FC7A12" w:rsidRDefault="00273066" w:rsidP="003539AC">
            <w:pPr>
              <w:jc w:val="both"/>
            </w:pPr>
            <w:r w:rsidRPr="00FC7A12">
              <w:t>Oktobar</w:t>
            </w:r>
          </w:p>
        </w:tc>
        <w:tc>
          <w:tcPr>
            <w:tcW w:w="2160" w:type="dxa"/>
          </w:tcPr>
          <w:p w:rsidR="00273066" w:rsidRPr="00FC7A12" w:rsidRDefault="00273066" w:rsidP="003539AC">
            <w:pPr>
              <w:jc w:val="center"/>
            </w:pPr>
          </w:p>
        </w:tc>
        <w:tc>
          <w:tcPr>
            <w:tcW w:w="2834" w:type="dxa"/>
          </w:tcPr>
          <w:p w:rsidR="00273066" w:rsidRPr="00FC7A12" w:rsidRDefault="00273066" w:rsidP="003539AC">
            <w:pPr>
              <w:jc w:val="center"/>
            </w:pPr>
            <w:r w:rsidRPr="00FC7A12">
              <w:t>2</w:t>
            </w:r>
          </w:p>
        </w:tc>
      </w:tr>
      <w:tr w:rsidR="00273066" w:rsidRPr="00FC7A12" w:rsidTr="003539AC">
        <w:tc>
          <w:tcPr>
            <w:tcW w:w="3528" w:type="dxa"/>
          </w:tcPr>
          <w:p w:rsidR="00273066" w:rsidRPr="00FC7A12" w:rsidRDefault="00273066" w:rsidP="003539AC">
            <w:pPr>
              <w:jc w:val="both"/>
            </w:pPr>
            <w:r w:rsidRPr="00FC7A12">
              <w:t>Novembar</w:t>
            </w:r>
          </w:p>
        </w:tc>
        <w:tc>
          <w:tcPr>
            <w:tcW w:w="2160" w:type="dxa"/>
          </w:tcPr>
          <w:p w:rsidR="00273066" w:rsidRPr="00FC7A12" w:rsidRDefault="00273066" w:rsidP="003539AC">
            <w:pPr>
              <w:jc w:val="center"/>
            </w:pPr>
          </w:p>
        </w:tc>
        <w:tc>
          <w:tcPr>
            <w:tcW w:w="2834" w:type="dxa"/>
          </w:tcPr>
          <w:p w:rsidR="00273066" w:rsidRPr="00FC7A12" w:rsidRDefault="00273066" w:rsidP="003539AC">
            <w:pPr>
              <w:jc w:val="center"/>
            </w:pPr>
            <w:r w:rsidRPr="00FC7A12">
              <w:t>1</w:t>
            </w:r>
          </w:p>
        </w:tc>
      </w:tr>
      <w:tr w:rsidR="00273066" w:rsidRPr="00FC7A12" w:rsidTr="003539AC">
        <w:tc>
          <w:tcPr>
            <w:tcW w:w="3528" w:type="dxa"/>
          </w:tcPr>
          <w:p w:rsidR="00273066" w:rsidRPr="00FC7A12" w:rsidRDefault="00273066" w:rsidP="003539AC">
            <w:pPr>
              <w:jc w:val="both"/>
            </w:pPr>
            <w:r w:rsidRPr="00FC7A12">
              <w:t>Decembar</w:t>
            </w:r>
          </w:p>
        </w:tc>
        <w:tc>
          <w:tcPr>
            <w:tcW w:w="2160" w:type="dxa"/>
          </w:tcPr>
          <w:p w:rsidR="00273066" w:rsidRPr="00FC7A12" w:rsidRDefault="00273066" w:rsidP="003539AC">
            <w:pPr>
              <w:jc w:val="center"/>
            </w:pPr>
            <w:r w:rsidRPr="00FC7A12">
              <w:t>2</w:t>
            </w:r>
          </w:p>
        </w:tc>
        <w:tc>
          <w:tcPr>
            <w:tcW w:w="2834" w:type="dxa"/>
          </w:tcPr>
          <w:p w:rsidR="00273066" w:rsidRPr="00FC7A12" w:rsidRDefault="00273066" w:rsidP="003539AC">
            <w:pPr>
              <w:jc w:val="center"/>
            </w:pPr>
            <w:r w:rsidRPr="00FC7A12">
              <w:t>5</w:t>
            </w:r>
          </w:p>
        </w:tc>
      </w:tr>
      <w:tr w:rsidR="00273066" w:rsidRPr="00FC7A12" w:rsidTr="003539AC">
        <w:tc>
          <w:tcPr>
            <w:tcW w:w="3528" w:type="dxa"/>
            <w:shd w:val="clear" w:color="auto" w:fill="D9D9D9"/>
          </w:tcPr>
          <w:p w:rsidR="00273066" w:rsidRPr="00FC7A12" w:rsidRDefault="00273066" w:rsidP="003539AC">
            <w:pPr>
              <w:jc w:val="both"/>
              <w:rPr>
                <w:b/>
              </w:rPr>
            </w:pPr>
            <w:r w:rsidRPr="00FC7A12">
              <w:rPr>
                <w:b/>
              </w:rPr>
              <w:t>UKUPNO:</w:t>
            </w:r>
          </w:p>
        </w:tc>
        <w:tc>
          <w:tcPr>
            <w:tcW w:w="2160" w:type="dxa"/>
            <w:shd w:val="clear" w:color="auto" w:fill="D9D9D9"/>
          </w:tcPr>
          <w:p w:rsidR="00273066" w:rsidRPr="00FC7A12" w:rsidRDefault="00273066" w:rsidP="003539AC">
            <w:pPr>
              <w:jc w:val="center"/>
              <w:rPr>
                <w:b/>
              </w:rPr>
            </w:pPr>
            <w:r w:rsidRPr="00FC7A12">
              <w:rPr>
                <w:b/>
              </w:rPr>
              <w:t>22</w:t>
            </w:r>
          </w:p>
        </w:tc>
        <w:tc>
          <w:tcPr>
            <w:tcW w:w="2834" w:type="dxa"/>
            <w:shd w:val="clear" w:color="auto" w:fill="D9D9D9"/>
          </w:tcPr>
          <w:p w:rsidR="00273066" w:rsidRPr="00FC7A12" w:rsidRDefault="00273066" w:rsidP="003539AC">
            <w:pPr>
              <w:jc w:val="center"/>
              <w:rPr>
                <w:b/>
              </w:rPr>
            </w:pPr>
            <w:r w:rsidRPr="00FC7A12">
              <w:rPr>
                <w:b/>
              </w:rPr>
              <w:t>14</w:t>
            </w:r>
          </w:p>
        </w:tc>
      </w:tr>
    </w:tbl>
    <w:p w:rsidR="00273066" w:rsidRPr="00FC7A12" w:rsidRDefault="00273066" w:rsidP="00273066">
      <w:pPr>
        <w:jc w:val="both"/>
      </w:pPr>
      <w:r w:rsidRPr="00FC7A12">
        <w:t xml:space="preserve"> </w:t>
      </w:r>
    </w:p>
    <w:p w:rsidR="00273066" w:rsidRPr="00FC7A12" w:rsidRDefault="00273066" w:rsidP="00273066">
      <w:pPr>
        <w:ind w:firstLine="720"/>
        <w:jc w:val="both"/>
      </w:pPr>
      <w:r w:rsidRPr="00FC7A12">
        <w:t xml:space="preserve">Analaizirajući realizovane programske segmente ponaosob, može se zaključiti da su u 2020. godini najviše uživali ljubitelji muzike i to ne samo iz našeg grada, već i sa znatno šireg prostora obzirom da je od ukupno 13 koncerata, čak njih 10 realizovano putem </w:t>
      </w:r>
      <w:r w:rsidRPr="00FC7A12">
        <w:rPr>
          <w:i/>
        </w:rPr>
        <w:t>online</w:t>
      </w:r>
      <w:r w:rsidRPr="00FC7A12">
        <w:t xml:space="preserve"> platformi koje su omogućile široku gledanost koja daleko prevazilazi lokalne okvire. Ljubitelji pisane riječi i ove godine bili su u prilici da odgledaju nekoliko izuzetno kvalitetnih programa. U okviru ovog programskog segmenta koji podrazumijeva književne, poetske, poetsko-muzičke večeri i promocije knjiga ukupno je realizovano 12 programa, od čega su tri bila namijenjena našim najmlađim sugrađanima. Epidemiološke mjere posebno su bile stroge za ljubitelje pozorišta jer su onemogućavale izvođenje predstava i prisustvo većeg broja gledalaca, što je uslovilo da u protekloj godini budu izvedene samo dvije predstave. Ove godine rafinirana nikšićka publika bila je u prilici da po prvi put uživa u izvođenju operskih arija, a naši najmlađi gledaoci imali su privilegiju da premijerno u Nikšiću vide operu za djecu „Bastijen i Bastijenka“. Ova dva istinska scensko-muzička spektakla organizovalo je Nikšićko pozorište u saradnji sa Narodonim pozorištem iz Beograda. Kada je riječ o izložbama, ove godine realizovane su ukupno četiri od čega su dvije organizovane u saradnji sa Državnim arhivom Crne Gore – Arhivskim odsjekom Nikšić. Realizovan je i jedan omaž u znak sjećanja na umjetnost pjesnika Marka Nikčevića. </w:t>
      </w:r>
      <w:r w:rsidRPr="00FC7A12">
        <w:lastRenderedPageBreak/>
        <w:t xml:space="preserve">Tribina „Kultopis“, autorski projekat JU „Zahumlje“, obradovala je posjetioce pred sam kraj godine. O poznatim, manje poznatim i nepoznatim istorijskim činjenicama kao i o aktuelnom političkom trenutku u zemlji govorio je istorčar i gost ove tribine prof. dr Živko Andrijašević. </w:t>
      </w:r>
    </w:p>
    <w:p w:rsidR="00273066" w:rsidRPr="00FC7A12" w:rsidRDefault="00273066" w:rsidP="00273066">
      <w:pPr>
        <w:jc w:val="both"/>
      </w:pPr>
    </w:p>
    <w:p w:rsidR="00273066" w:rsidRPr="00FC7A12" w:rsidRDefault="00273066" w:rsidP="00273066">
      <w:pPr>
        <w:jc w:val="both"/>
      </w:pPr>
      <w:r w:rsidRPr="00FC7A12">
        <w:t>Tabelarni prikaz realizovanih kulturnih sadržaja:</w:t>
      </w:r>
    </w:p>
    <w:p w:rsidR="00273066" w:rsidRPr="00FC7A12" w:rsidRDefault="00273066" w:rsidP="00273066">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8"/>
        <w:gridCol w:w="2024"/>
      </w:tblGrid>
      <w:tr w:rsidR="00273066" w:rsidRPr="00FC7A12" w:rsidTr="003539AC">
        <w:tc>
          <w:tcPr>
            <w:tcW w:w="6498" w:type="dxa"/>
            <w:shd w:val="clear" w:color="auto" w:fill="D9D9D9"/>
          </w:tcPr>
          <w:p w:rsidR="00273066" w:rsidRPr="00FC7A12" w:rsidRDefault="00273066" w:rsidP="003539AC">
            <w:pPr>
              <w:rPr>
                <w:b/>
                <w:i/>
              </w:rPr>
            </w:pPr>
            <w:r w:rsidRPr="00FC7A12">
              <w:rPr>
                <w:b/>
                <w:i/>
              </w:rPr>
              <w:t>Vrsta kulturnog sadržaja</w:t>
            </w:r>
          </w:p>
        </w:tc>
        <w:tc>
          <w:tcPr>
            <w:tcW w:w="2024" w:type="dxa"/>
            <w:shd w:val="clear" w:color="auto" w:fill="D9D9D9"/>
          </w:tcPr>
          <w:p w:rsidR="00273066" w:rsidRPr="00FC7A12" w:rsidRDefault="00273066" w:rsidP="003539AC">
            <w:pPr>
              <w:jc w:val="center"/>
              <w:rPr>
                <w:b/>
                <w:i/>
              </w:rPr>
            </w:pPr>
            <w:r w:rsidRPr="00FC7A12">
              <w:rPr>
                <w:b/>
                <w:i/>
              </w:rPr>
              <w:t>Broj programa</w:t>
            </w:r>
          </w:p>
        </w:tc>
      </w:tr>
      <w:tr w:rsidR="00273066" w:rsidRPr="00FC7A12" w:rsidTr="003539AC">
        <w:tc>
          <w:tcPr>
            <w:tcW w:w="6498" w:type="dxa"/>
          </w:tcPr>
          <w:p w:rsidR="00273066" w:rsidRPr="00FC7A12" w:rsidRDefault="00273066" w:rsidP="003539AC">
            <w:r w:rsidRPr="00FC7A12">
              <w:t>predstava za odrasle</w:t>
            </w:r>
          </w:p>
        </w:tc>
        <w:tc>
          <w:tcPr>
            <w:tcW w:w="2024" w:type="dxa"/>
          </w:tcPr>
          <w:p w:rsidR="00273066" w:rsidRPr="00FC7A12" w:rsidRDefault="00273066" w:rsidP="003539AC">
            <w:pPr>
              <w:jc w:val="center"/>
            </w:pPr>
            <w:r w:rsidRPr="00FC7A12">
              <w:t>2</w:t>
            </w:r>
          </w:p>
        </w:tc>
      </w:tr>
      <w:tr w:rsidR="00273066" w:rsidRPr="00FC7A12" w:rsidTr="003539AC">
        <w:tc>
          <w:tcPr>
            <w:tcW w:w="6498" w:type="dxa"/>
          </w:tcPr>
          <w:p w:rsidR="00273066" w:rsidRPr="00FC7A12" w:rsidRDefault="00273066" w:rsidP="003539AC">
            <w:r w:rsidRPr="00FC7A12">
              <w:t>opera za djecu</w:t>
            </w:r>
          </w:p>
        </w:tc>
        <w:tc>
          <w:tcPr>
            <w:tcW w:w="2024" w:type="dxa"/>
          </w:tcPr>
          <w:p w:rsidR="00273066" w:rsidRPr="00FC7A12" w:rsidRDefault="00273066" w:rsidP="003539AC">
            <w:pPr>
              <w:jc w:val="center"/>
            </w:pPr>
            <w:r w:rsidRPr="00FC7A12">
              <w:t>1</w:t>
            </w:r>
          </w:p>
        </w:tc>
      </w:tr>
      <w:tr w:rsidR="00273066" w:rsidRPr="00FC7A12" w:rsidTr="003539AC">
        <w:tc>
          <w:tcPr>
            <w:tcW w:w="6498" w:type="dxa"/>
          </w:tcPr>
          <w:p w:rsidR="00273066" w:rsidRPr="00FC7A12" w:rsidRDefault="00273066" w:rsidP="003539AC">
            <w:r w:rsidRPr="00FC7A12">
              <w:t>koncerti</w:t>
            </w:r>
          </w:p>
        </w:tc>
        <w:tc>
          <w:tcPr>
            <w:tcW w:w="2024" w:type="dxa"/>
          </w:tcPr>
          <w:p w:rsidR="00273066" w:rsidRPr="00FC7A12" w:rsidRDefault="00273066" w:rsidP="003539AC">
            <w:pPr>
              <w:jc w:val="center"/>
            </w:pPr>
            <w:r w:rsidRPr="00FC7A12">
              <w:t>13</w:t>
            </w:r>
          </w:p>
        </w:tc>
      </w:tr>
      <w:tr w:rsidR="00273066" w:rsidRPr="00FC7A12" w:rsidTr="003539AC">
        <w:tc>
          <w:tcPr>
            <w:tcW w:w="6498" w:type="dxa"/>
          </w:tcPr>
          <w:p w:rsidR="00273066" w:rsidRPr="00FC7A12" w:rsidRDefault="00273066" w:rsidP="003539AC">
            <w:r w:rsidRPr="00FC7A12">
              <w:t>izložbe</w:t>
            </w:r>
          </w:p>
        </w:tc>
        <w:tc>
          <w:tcPr>
            <w:tcW w:w="2024" w:type="dxa"/>
          </w:tcPr>
          <w:p w:rsidR="00273066" w:rsidRPr="00FC7A12" w:rsidRDefault="00273066" w:rsidP="003539AC">
            <w:pPr>
              <w:jc w:val="center"/>
            </w:pPr>
            <w:r w:rsidRPr="00FC7A12">
              <w:t>4</w:t>
            </w:r>
          </w:p>
        </w:tc>
      </w:tr>
      <w:tr w:rsidR="00273066" w:rsidRPr="00FC7A12" w:rsidTr="003539AC">
        <w:tc>
          <w:tcPr>
            <w:tcW w:w="6498" w:type="dxa"/>
          </w:tcPr>
          <w:p w:rsidR="00273066" w:rsidRPr="00FC7A12" w:rsidRDefault="00273066" w:rsidP="003539AC">
            <w:r w:rsidRPr="00FC7A12">
              <w:t>operska arija</w:t>
            </w:r>
          </w:p>
        </w:tc>
        <w:tc>
          <w:tcPr>
            <w:tcW w:w="2024" w:type="dxa"/>
          </w:tcPr>
          <w:p w:rsidR="00273066" w:rsidRPr="00FC7A12" w:rsidRDefault="00273066" w:rsidP="003539AC">
            <w:pPr>
              <w:jc w:val="center"/>
            </w:pPr>
            <w:r w:rsidRPr="00FC7A12">
              <w:t>1</w:t>
            </w:r>
          </w:p>
        </w:tc>
      </w:tr>
      <w:tr w:rsidR="00273066" w:rsidRPr="00FC7A12" w:rsidTr="003539AC">
        <w:tc>
          <w:tcPr>
            <w:tcW w:w="6498" w:type="dxa"/>
          </w:tcPr>
          <w:p w:rsidR="00273066" w:rsidRPr="00FC7A12" w:rsidRDefault="00273066" w:rsidP="003539AC">
            <w:r w:rsidRPr="00FC7A12">
              <w:t>književne, autorske i poetske večeri</w:t>
            </w:r>
          </w:p>
        </w:tc>
        <w:tc>
          <w:tcPr>
            <w:tcW w:w="2024" w:type="dxa"/>
          </w:tcPr>
          <w:p w:rsidR="00273066" w:rsidRPr="00FC7A12" w:rsidRDefault="00273066" w:rsidP="003539AC">
            <w:pPr>
              <w:jc w:val="center"/>
            </w:pPr>
            <w:r w:rsidRPr="00FC7A12">
              <w:t>4</w:t>
            </w:r>
          </w:p>
        </w:tc>
      </w:tr>
      <w:tr w:rsidR="00273066" w:rsidRPr="00FC7A12" w:rsidTr="003539AC">
        <w:tc>
          <w:tcPr>
            <w:tcW w:w="6498" w:type="dxa"/>
          </w:tcPr>
          <w:p w:rsidR="00273066" w:rsidRPr="00FC7A12" w:rsidRDefault="00273066" w:rsidP="003539AC">
            <w:r w:rsidRPr="00FC7A12">
              <w:t>promocije knjiga</w:t>
            </w:r>
          </w:p>
        </w:tc>
        <w:tc>
          <w:tcPr>
            <w:tcW w:w="2024" w:type="dxa"/>
          </w:tcPr>
          <w:p w:rsidR="00273066" w:rsidRPr="00FC7A12" w:rsidRDefault="00273066" w:rsidP="003539AC">
            <w:pPr>
              <w:jc w:val="center"/>
            </w:pPr>
            <w:r w:rsidRPr="00FC7A12">
              <w:t>5</w:t>
            </w:r>
          </w:p>
        </w:tc>
      </w:tr>
      <w:tr w:rsidR="00273066" w:rsidRPr="00FC7A12" w:rsidTr="003539AC">
        <w:tc>
          <w:tcPr>
            <w:tcW w:w="6498" w:type="dxa"/>
          </w:tcPr>
          <w:p w:rsidR="00273066" w:rsidRPr="00FC7A12" w:rsidRDefault="00273066" w:rsidP="003539AC">
            <w:r w:rsidRPr="00FC7A12">
              <w:t>programi za djecu iz oblasti književnosti</w:t>
            </w:r>
          </w:p>
        </w:tc>
        <w:tc>
          <w:tcPr>
            <w:tcW w:w="2024" w:type="dxa"/>
          </w:tcPr>
          <w:p w:rsidR="00273066" w:rsidRPr="00FC7A12" w:rsidRDefault="00273066" w:rsidP="003539AC">
            <w:pPr>
              <w:jc w:val="center"/>
            </w:pPr>
            <w:r w:rsidRPr="00FC7A12">
              <w:t>3</w:t>
            </w:r>
          </w:p>
        </w:tc>
      </w:tr>
      <w:tr w:rsidR="00273066" w:rsidRPr="00FC7A12" w:rsidTr="003539AC">
        <w:tc>
          <w:tcPr>
            <w:tcW w:w="6498" w:type="dxa"/>
          </w:tcPr>
          <w:p w:rsidR="00273066" w:rsidRPr="00FC7A12" w:rsidRDefault="00273066" w:rsidP="003539AC">
            <w:r w:rsidRPr="00FC7A12">
              <w:t>omaž</w:t>
            </w:r>
          </w:p>
        </w:tc>
        <w:tc>
          <w:tcPr>
            <w:tcW w:w="2024" w:type="dxa"/>
          </w:tcPr>
          <w:p w:rsidR="00273066" w:rsidRPr="00FC7A12" w:rsidRDefault="00273066" w:rsidP="003539AC">
            <w:pPr>
              <w:jc w:val="center"/>
            </w:pPr>
            <w:r w:rsidRPr="00FC7A12">
              <w:t>1</w:t>
            </w:r>
          </w:p>
        </w:tc>
      </w:tr>
      <w:tr w:rsidR="00273066" w:rsidRPr="00FC7A12" w:rsidTr="003539AC">
        <w:tc>
          <w:tcPr>
            <w:tcW w:w="6498" w:type="dxa"/>
          </w:tcPr>
          <w:p w:rsidR="00273066" w:rsidRPr="00FC7A12" w:rsidRDefault="00273066" w:rsidP="003539AC">
            <w:r w:rsidRPr="00FC7A12">
              <w:t>tribina “kultopis”</w:t>
            </w:r>
          </w:p>
        </w:tc>
        <w:tc>
          <w:tcPr>
            <w:tcW w:w="2024" w:type="dxa"/>
          </w:tcPr>
          <w:p w:rsidR="00273066" w:rsidRPr="00FC7A12" w:rsidRDefault="00273066" w:rsidP="003539AC">
            <w:pPr>
              <w:jc w:val="center"/>
            </w:pPr>
            <w:r w:rsidRPr="00FC7A12">
              <w:t>1</w:t>
            </w:r>
          </w:p>
        </w:tc>
      </w:tr>
      <w:tr w:rsidR="00273066" w:rsidRPr="00FC7A12" w:rsidTr="003539AC">
        <w:tc>
          <w:tcPr>
            <w:tcW w:w="6498" w:type="dxa"/>
          </w:tcPr>
          <w:p w:rsidR="00273066" w:rsidRPr="00FC7A12" w:rsidRDefault="00273066" w:rsidP="003539AC">
            <w:r w:rsidRPr="00FC7A12">
              <w:t>programi van Nikšića (koncerti, predstave, izložbe …)</w:t>
            </w:r>
          </w:p>
        </w:tc>
        <w:tc>
          <w:tcPr>
            <w:tcW w:w="2024" w:type="dxa"/>
          </w:tcPr>
          <w:p w:rsidR="00273066" w:rsidRPr="00FC7A12" w:rsidRDefault="00273066" w:rsidP="003539AC">
            <w:pPr>
              <w:jc w:val="center"/>
            </w:pPr>
            <w:r w:rsidRPr="00FC7A12">
              <w:t>1</w:t>
            </w:r>
          </w:p>
        </w:tc>
      </w:tr>
      <w:tr w:rsidR="00273066" w:rsidRPr="00FC7A12" w:rsidTr="003539AC">
        <w:tc>
          <w:tcPr>
            <w:tcW w:w="6498" w:type="dxa"/>
            <w:shd w:val="clear" w:color="auto" w:fill="D9D9D9"/>
          </w:tcPr>
          <w:p w:rsidR="00273066" w:rsidRPr="00FC7A12" w:rsidRDefault="00273066" w:rsidP="003539AC">
            <w:pPr>
              <w:rPr>
                <w:b/>
              </w:rPr>
            </w:pPr>
            <w:r w:rsidRPr="00FC7A12">
              <w:rPr>
                <w:b/>
              </w:rPr>
              <w:t>UKUPNO:</w:t>
            </w:r>
          </w:p>
        </w:tc>
        <w:tc>
          <w:tcPr>
            <w:tcW w:w="2024" w:type="dxa"/>
            <w:shd w:val="clear" w:color="auto" w:fill="D9D9D9"/>
          </w:tcPr>
          <w:p w:rsidR="00273066" w:rsidRPr="00FC7A12" w:rsidRDefault="00273066" w:rsidP="003539AC">
            <w:pPr>
              <w:jc w:val="center"/>
              <w:rPr>
                <w:b/>
              </w:rPr>
            </w:pPr>
            <w:r w:rsidRPr="00FC7A12">
              <w:rPr>
                <w:b/>
              </w:rPr>
              <w:t>36</w:t>
            </w:r>
          </w:p>
        </w:tc>
      </w:tr>
    </w:tbl>
    <w:p w:rsidR="00273066" w:rsidRPr="00FC7A12" w:rsidRDefault="00273066" w:rsidP="00273066">
      <w:pPr>
        <w:ind w:firstLine="720"/>
        <w:jc w:val="both"/>
      </w:pPr>
    </w:p>
    <w:p w:rsidR="00273066" w:rsidRPr="00FC7A12" w:rsidRDefault="009309BC" w:rsidP="00273066">
      <w:pPr>
        <w:ind w:firstLine="720"/>
        <w:jc w:val="both"/>
      </w:pPr>
      <w:r>
        <w:t>Složena epidemijska</w:t>
      </w:r>
      <w:r w:rsidR="00273066" w:rsidRPr="00FC7A12">
        <w:t xml:space="preserve"> situacija u gradu dodatno je kulminirala u drugoj polovini godine kada su aktuelni nikšićki festivali i manifestacije po kojima je naš grad posebno prepoznat i visoko pozicioniran kako na crnogorskoj, tako i regionalnoj festivalskoj mapi. Poštujući propisane epidemiološke mjere organizatori su uspjeli da putem </w:t>
      </w:r>
      <w:r w:rsidR="00273066" w:rsidRPr="00FC7A12">
        <w:rPr>
          <w:i/>
        </w:rPr>
        <w:t>online</w:t>
      </w:r>
      <w:r w:rsidR="00273066" w:rsidRPr="00FC7A12">
        <w:t xml:space="preserve"> platformi realizuju „Bedem fest“, „Nikšić guitar fest“ i „Nikšićke književne susrete“, dok je tradicionalna manifestacija „Septembarski dani“ nikšićkoj publici ponudila svega tri programa. Ostali festivali koji uz već pomenute Nikšić čine „festivalskim gradom“, a to su: „Lake fest“, „Festival uličnih svirača“, „Međunarodni festival glumca“ i „Boem fest“ u limitiranim uslovima nijesu mogli biti organizovani</w:t>
      </w:r>
      <w:r w:rsidR="005A1313">
        <w:t>.</w:t>
      </w:r>
      <w:r w:rsidR="00273066" w:rsidRPr="00FC7A12">
        <w:t xml:space="preserve"> </w:t>
      </w:r>
    </w:p>
    <w:p w:rsidR="00273066" w:rsidRPr="00FC7A12" w:rsidRDefault="00273066" w:rsidP="00273066">
      <w:pPr>
        <w:ind w:firstLine="720"/>
        <w:jc w:val="both"/>
      </w:pPr>
      <w:r w:rsidRPr="00FC7A12">
        <w:t>Sektor za kulturu imao je svoju ulogu u organizovanju održanih festivala, a ona se primarno odnosila na pružanju neophodne organizacione i finansijske pomoći i podrške.</w:t>
      </w:r>
    </w:p>
    <w:p w:rsidR="00273066" w:rsidRPr="00FC7A12" w:rsidRDefault="00273066" w:rsidP="00273066">
      <w:pPr>
        <w:ind w:firstLine="720"/>
        <w:jc w:val="both"/>
      </w:pPr>
      <w:r w:rsidRPr="00FC7A12">
        <w:t xml:space="preserve">Ovogodišnja  tradicionalna manifestacija „Septembarski dani“, kojom se obilježava Dan oslobođenja Nikšića, nije realizovana u potpunosti, već se shodno prilično redukovanim uslovima uspjelo realizovati svega tri programa. </w:t>
      </w:r>
    </w:p>
    <w:p w:rsidR="00273066" w:rsidRPr="00FC7A12" w:rsidRDefault="00273066" w:rsidP="00273066">
      <w:pPr>
        <w:ind w:firstLine="720"/>
        <w:jc w:val="both"/>
      </w:pPr>
      <w:r w:rsidRPr="00FC7A12">
        <w:t xml:space="preserve">Muzički festival koji zbog svoje tradicije zauzima posebno mjesto svakako je „Nikšić guitar fest“, a ove godine doživio je svoje 15. jubilarno izdanje i realizovan je u </w:t>
      </w:r>
      <w:r w:rsidRPr="00FC7A12">
        <w:rPr>
          <w:i/>
        </w:rPr>
        <w:t>online</w:t>
      </w:r>
      <w:r w:rsidRPr="00FC7A12">
        <w:t xml:space="preserve"> formi. Festival je trajao tri dana, od 25. do 28. avgusta.</w:t>
      </w:r>
    </w:p>
    <w:p w:rsidR="00273066" w:rsidRPr="00FC7A12" w:rsidRDefault="00273066" w:rsidP="00273066">
      <w:pPr>
        <w:ind w:firstLine="720"/>
        <w:jc w:val="both"/>
      </w:pPr>
      <w:r w:rsidRPr="00FC7A12">
        <w:t xml:space="preserve">Putem </w:t>
      </w:r>
      <w:r w:rsidRPr="00FC7A12">
        <w:rPr>
          <w:i/>
        </w:rPr>
        <w:t>online</w:t>
      </w:r>
      <w:r w:rsidRPr="00FC7A12">
        <w:t xml:space="preserve"> platformi, pred sam kraj godine, realizovana je i tradicionalna manifestacija „Nikšićki književni susreti“ zahvaljujući kojoj uživaju brojni ljubitelji pisane riječi. Ovaj nesvakidašnji književni ugođaj po kojem je Nikšić u književnim krugovima poodavno prepoznat ove godine bilježi svoje 23. izdanje, a ugostio je trenutno najaktuelnija književna imena koja su za svoja djela ovjenčana brojnim nagradama i priznanjima. Sekretarijat za kulturu, sport, mlade i socijalno staranje preko Sektora za kulturu i ove godine je bio aktivno uključen u organizaciji pomenute manifestacije. I u ovim specifičnim okolnostima nije mijenjan sada već ustaljeni koncept manifestacije koji je podijeljen u dva segmenta, dječiji i segment za odrasle. </w:t>
      </w:r>
    </w:p>
    <w:p w:rsidR="003539AC" w:rsidRPr="00FC7A12" w:rsidRDefault="00273066" w:rsidP="005A1313">
      <w:pPr>
        <w:ind w:firstLine="720"/>
        <w:jc w:val="both"/>
      </w:pPr>
      <w:r w:rsidRPr="00FC7A12">
        <w:t xml:space="preserve">Od tradicionalnih ljetnjnih muzičkih festivala, zahvaljujući kojima je Nikšić postao nezaobilazna destinacija na festivalskoj muzičkoj mapi u regionu, ali i šire, realizovan je jedino </w:t>
      </w:r>
      <w:r w:rsidRPr="00FC7A12">
        <w:lastRenderedPageBreak/>
        <w:t xml:space="preserve">„Bedem fest“ i to putem </w:t>
      </w:r>
      <w:r w:rsidRPr="00FC7A12">
        <w:rPr>
          <w:i/>
        </w:rPr>
        <w:t>online</w:t>
      </w:r>
      <w:r w:rsidRPr="00FC7A12">
        <w:t xml:space="preserve"> platformi. Ne želeći da prekidaju kontinuitet, organizatori su se odlučili da, 1. avgusta, ljubiteljima dobre muzike prirede jednodnevni </w:t>
      </w:r>
      <w:r w:rsidRPr="00FC7A12">
        <w:rPr>
          <w:i/>
        </w:rPr>
        <w:t xml:space="preserve">online </w:t>
      </w:r>
      <w:r w:rsidRPr="00FC7A12">
        <w:t>koncert</w:t>
      </w:r>
      <w:r w:rsidR="003539AC" w:rsidRPr="00FC7A12">
        <w:t>.</w:t>
      </w:r>
      <w:r w:rsidRPr="00FC7A12">
        <w:t xml:space="preserve"> </w:t>
      </w:r>
    </w:p>
    <w:p w:rsidR="00FB7669" w:rsidRPr="00FC7A12" w:rsidRDefault="00FB7669" w:rsidP="00E34D60">
      <w:pPr>
        <w:pStyle w:val="NoSpacing"/>
        <w:jc w:val="both"/>
        <w:rPr>
          <w:rFonts w:ascii="Times New Roman" w:hAnsi="Times New Roman" w:cs="Times New Roman"/>
          <w:sz w:val="24"/>
          <w:szCs w:val="24"/>
        </w:rPr>
      </w:pPr>
      <w:r w:rsidRPr="00FC7A12">
        <w:rPr>
          <w:rFonts w:ascii="Times New Roman" w:hAnsi="Times New Roman" w:cs="Times New Roman"/>
          <w:b/>
          <w:bCs/>
          <w:sz w:val="24"/>
          <w:szCs w:val="24"/>
        </w:rPr>
        <w:t xml:space="preserve">           </w:t>
      </w:r>
      <w:r w:rsidR="003539AC" w:rsidRPr="00FC7A12">
        <w:rPr>
          <w:rFonts w:ascii="Times New Roman" w:hAnsi="Times New Roman" w:cs="Times New Roman"/>
          <w:sz w:val="24"/>
          <w:szCs w:val="24"/>
        </w:rPr>
        <w:t xml:space="preserve"> U 2020</w:t>
      </w:r>
      <w:r w:rsidRPr="00FC7A12">
        <w:rPr>
          <w:rFonts w:ascii="Times New Roman" w:hAnsi="Times New Roman" w:cs="Times New Roman"/>
          <w:sz w:val="24"/>
          <w:szCs w:val="24"/>
        </w:rPr>
        <w:t xml:space="preserve">.godini Odjeljenje za rodnu ravnopravnost je pratilo stanje i težilo unapređenju rodne ravnopravnosti i predlagalo mjere i aktivnosti u pogledu unaprjeđenja i ostvarivanja  rodne ravnopravnosti. </w:t>
      </w:r>
    </w:p>
    <w:p w:rsidR="00FB7669" w:rsidRPr="00FC7A12" w:rsidRDefault="003539AC" w:rsidP="00E34D60">
      <w:pPr>
        <w:pStyle w:val="NoSpacing"/>
        <w:ind w:firstLine="720"/>
        <w:jc w:val="both"/>
        <w:rPr>
          <w:rFonts w:ascii="Times New Roman" w:hAnsi="Times New Roman" w:cs="Times New Roman"/>
          <w:sz w:val="24"/>
          <w:szCs w:val="24"/>
        </w:rPr>
      </w:pPr>
      <w:r w:rsidRPr="00FC7A12">
        <w:rPr>
          <w:rFonts w:ascii="Times New Roman" w:hAnsi="Times New Roman" w:cs="Times New Roman"/>
          <w:sz w:val="24"/>
          <w:szCs w:val="24"/>
        </w:rPr>
        <w:t>U toku 2020</w:t>
      </w:r>
      <w:r w:rsidR="00FB7669" w:rsidRPr="00FC7A12">
        <w:rPr>
          <w:rFonts w:ascii="Times New Roman" w:hAnsi="Times New Roman" w:cs="Times New Roman"/>
          <w:sz w:val="24"/>
          <w:szCs w:val="24"/>
        </w:rPr>
        <w:t>. godine Odjeljenje za rodnu ravnopravnost je kroz niz aktivnosti i događaja unaprijedilo već postojeću saradnju sa svim relevantnim subjektima koji se na lokalnom i državnom nivou bave unaprjeđenjem rodne ravnopravnosti.</w:t>
      </w:r>
    </w:p>
    <w:p w:rsidR="00FB7669" w:rsidRPr="00FC7A12" w:rsidRDefault="00FB7669" w:rsidP="00E34D60">
      <w:pPr>
        <w:shd w:val="clear" w:color="auto" w:fill="FFFFFF"/>
        <w:ind w:firstLine="720"/>
        <w:jc w:val="both"/>
        <w:rPr>
          <w:rFonts w:eastAsia="MS Mincho"/>
          <w:color w:val="000000"/>
          <w:lang w:eastAsia="ja-JP"/>
        </w:rPr>
      </w:pPr>
      <w:r w:rsidRPr="00FC7A12">
        <w:rPr>
          <w:rFonts w:eastAsia="MS Mincho"/>
          <w:color w:val="000000"/>
          <w:lang w:eastAsia="ja-JP"/>
        </w:rPr>
        <w:t>Razvoj inkluzivnog obrazovanja je jedan od definisanih prioriteta obrazovanja u Crnoj Gori. Politika inkluzivnog obrazovanja primjenjuje smjernice i principe relevantnih međunarodnih dokumenata, usaglašena je sa evropskim zakonodavstvom i praksom obrazovanja djece sa smetnjama u razvoju u okviru redovnih škola.</w:t>
      </w:r>
    </w:p>
    <w:p w:rsidR="00FB7669" w:rsidRPr="00FC7A12" w:rsidRDefault="00FB7669" w:rsidP="00E34D60">
      <w:pPr>
        <w:spacing w:before="120"/>
        <w:jc w:val="both"/>
        <w:rPr>
          <w:rFonts w:eastAsia="MS Mincho"/>
          <w:color w:val="000000"/>
          <w:lang w:eastAsia="ja-JP"/>
        </w:rPr>
      </w:pPr>
      <w:r w:rsidRPr="00FC7A12">
        <w:rPr>
          <w:rFonts w:eastAsia="MS Mincho"/>
          <w:color w:val="000000"/>
          <w:lang w:eastAsia="ja-JP"/>
        </w:rPr>
        <w:tab/>
        <w:t xml:space="preserve">Sekretarijat za kulturu, sport, mlade i socijalno staranje, kao organ lokalne uprave nadležan za poslove obrazovanja, vrši usmjeravanje djece sa posebnim obrazovnim potrebama u vaspitno-obrazovni sistem, na osnovu predloga Prvostepene komisije za usmjeravanje djece sa posebnim obrazovnim potrebama. </w:t>
      </w:r>
    </w:p>
    <w:p w:rsidR="00FB7669" w:rsidRPr="00FC7A12" w:rsidRDefault="00FB7669" w:rsidP="00E34D60">
      <w:pPr>
        <w:ind w:firstLine="708"/>
        <w:jc w:val="both"/>
        <w:rPr>
          <w:rFonts w:eastAsia="MS Mincho"/>
          <w:lang w:eastAsia="ja-JP"/>
        </w:rPr>
      </w:pPr>
      <w:r w:rsidRPr="00FC7A12">
        <w:rPr>
          <w:rFonts w:eastAsia="MS Mincho"/>
          <w:lang w:eastAsia="ja-JP"/>
        </w:rPr>
        <w:t>Maturantima srednjih škola, sa prebivalištem u opštini Nikšić urađena su rješenja o priznavanju prava na stipendiju po osnovu diplome „Luča“ za odličan uspjeh iz svih nastavnih predmeta i primj</w:t>
      </w:r>
      <w:r w:rsidR="003539AC" w:rsidRPr="00FC7A12">
        <w:rPr>
          <w:rFonts w:eastAsia="MS Mincho"/>
          <w:lang w:eastAsia="ja-JP"/>
        </w:rPr>
        <w:t>erno vladanje, za studijsku 2020/2021</w:t>
      </w:r>
      <w:r w:rsidRPr="00FC7A12">
        <w:rPr>
          <w:rFonts w:eastAsia="MS Mincho"/>
          <w:lang w:eastAsia="ja-JP"/>
        </w:rPr>
        <w:t xml:space="preserve">. </w:t>
      </w:r>
      <w:r w:rsidR="00403A6B" w:rsidRPr="00FC7A12">
        <w:rPr>
          <w:rFonts w:eastAsia="MS Mincho"/>
          <w:lang w:eastAsia="ja-JP"/>
        </w:rPr>
        <w:t>g</w:t>
      </w:r>
      <w:r w:rsidRPr="00FC7A12">
        <w:rPr>
          <w:rFonts w:eastAsia="MS Mincho"/>
          <w:lang w:eastAsia="ja-JP"/>
        </w:rPr>
        <w:t>odinu</w:t>
      </w:r>
      <w:r w:rsidR="00403A6B" w:rsidRPr="00FC7A12">
        <w:rPr>
          <w:rFonts w:eastAsia="MS Mincho"/>
          <w:lang w:eastAsia="ja-JP"/>
        </w:rPr>
        <w:t>.</w:t>
      </w:r>
      <w:r w:rsidRPr="00FC7A12">
        <w:rPr>
          <w:rFonts w:eastAsia="MS Mincho"/>
          <w:lang w:eastAsia="ja-JP"/>
        </w:rPr>
        <w:t xml:space="preserve"> </w:t>
      </w:r>
    </w:p>
    <w:p w:rsidR="00FB7669" w:rsidRPr="00FC7A12" w:rsidRDefault="00FB7669" w:rsidP="00E34D60">
      <w:pPr>
        <w:autoSpaceDE w:val="0"/>
        <w:autoSpaceDN w:val="0"/>
        <w:adjustRightInd w:val="0"/>
        <w:ind w:firstLine="708"/>
        <w:jc w:val="both"/>
        <w:rPr>
          <w:rFonts w:eastAsia="MS Mincho"/>
          <w:lang w:eastAsia="ja-JP"/>
        </w:rPr>
      </w:pPr>
      <w:r w:rsidRPr="00FC7A12">
        <w:rPr>
          <w:rFonts w:eastAsia="MS Mincho"/>
          <w:lang w:eastAsia="ja-JP"/>
        </w:rPr>
        <w:t>Stipendija se dodjel</w:t>
      </w:r>
      <w:r w:rsidR="003539AC" w:rsidRPr="00FC7A12">
        <w:rPr>
          <w:rFonts w:eastAsia="MS Mincho"/>
          <w:lang w:eastAsia="ja-JP"/>
        </w:rPr>
        <w:t>juje za 10 mjeseci (oktobar 2020. - jul 2021</w:t>
      </w:r>
      <w:r w:rsidRPr="00FC7A12">
        <w:rPr>
          <w:rFonts w:eastAsia="MS Mincho"/>
          <w:lang w:eastAsia="ja-JP"/>
        </w:rPr>
        <w:t>. godine), u mjesečnom iznosu od 55,00 €, pri čemu ukupan mjeseč</w:t>
      </w:r>
      <w:r w:rsidR="003539AC" w:rsidRPr="00FC7A12">
        <w:rPr>
          <w:rFonts w:eastAsia="MS Mincho"/>
          <w:lang w:eastAsia="ja-JP"/>
        </w:rPr>
        <w:t>ni iznos stipendije iznosi 5.940</w:t>
      </w:r>
      <w:r w:rsidRPr="00FC7A12">
        <w:rPr>
          <w:rFonts w:eastAsia="MS Mincho"/>
          <w:lang w:eastAsia="ja-JP"/>
        </w:rPr>
        <w:t>,00 €.</w:t>
      </w:r>
    </w:p>
    <w:p w:rsidR="00FB7669" w:rsidRPr="00FC7A12" w:rsidRDefault="00FB7669" w:rsidP="00E34D60">
      <w:pPr>
        <w:ind w:firstLine="708"/>
        <w:jc w:val="both"/>
        <w:rPr>
          <w:rFonts w:eastAsia="MS Mincho"/>
          <w:lang w:eastAsia="ja-JP"/>
        </w:rPr>
      </w:pPr>
      <w:r w:rsidRPr="00FC7A12">
        <w:rPr>
          <w:rFonts w:eastAsia="MS Mincho"/>
          <w:lang w:eastAsia="ja-JP"/>
        </w:rPr>
        <w:t>Urađeni su stručni i administrativni poslovi za potrebe Komisije za   dodjelu Studentsk</w:t>
      </w:r>
      <w:r w:rsidR="00265276" w:rsidRPr="00FC7A12">
        <w:rPr>
          <w:rFonts w:eastAsia="MS Mincho"/>
          <w:lang w:eastAsia="ja-JP"/>
        </w:rPr>
        <w:t>e nagrade Opštine Nikšić za 2020</w:t>
      </w:r>
      <w:r w:rsidRPr="00FC7A12">
        <w:rPr>
          <w:rFonts w:eastAsia="MS Mincho"/>
          <w:lang w:eastAsia="ja-JP"/>
        </w:rPr>
        <w:t xml:space="preserve">. godinu, koju je imenovala Skupština opštine, a koja se dodjeljuje 18. septembra povodom dana oslobođenja Nikšića.  </w:t>
      </w:r>
    </w:p>
    <w:p w:rsidR="00FB7669" w:rsidRPr="00FC7A12" w:rsidRDefault="00FB7669" w:rsidP="00E34D60">
      <w:pPr>
        <w:ind w:firstLine="708"/>
        <w:jc w:val="both"/>
        <w:rPr>
          <w:rFonts w:eastAsia="MS Mincho"/>
          <w:lang w:eastAsia="ja-JP"/>
        </w:rPr>
      </w:pPr>
      <w:r w:rsidRPr="00FC7A12">
        <w:rPr>
          <w:rFonts w:eastAsia="MS Mincho"/>
          <w:lang w:eastAsia="ja-JP"/>
        </w:rPr>
        <w:t>Nag</w:t>
      </w:r>
      <w:r w:rsidR="00F42F44" w:rsidRPr="00FC7A12">
        <w:rPr>
          <w:rFonts w:eastAsia="MS Mincho"/>
          <w:lang w:eastAsia="ja-JP"/>
        </w:rPr>
        <w:t>rađeno je 5</w:t>
      </w:r>
      <w:r w:rsidRPr="00FC7A12">
        <w:rPr>
          <w:rFonts w:eastAsia="MS Mincho"/>
          <w:lang w:eastAsia="ja-JP"/>
        </w:rPr>
        <w:t xml:space="preserve"> studenata sa različitih fakulteta, pri čemu se nagrada dodjeljuje u visini 1,5 (jedne ipo) prosječne zarade u Crnoj Gori, za mjesec koji prethodi mjesecu dodjele.</w:t>
      </w:r>
    </w:p>
    <w:p w:rsidR="00FB7669" w:rsidRPr="00FC7A12" w:rsidRDefault="00FB7669" w:rsidP="00E34D60">
      <w:pPr>
        <w:ind w:firstLine="709"/>
        <w:jc w:val="both"/>
        <w:rPr>
          <w:lang w:val="sr-Cyrl-CS"/>
        </w:rPr>
      </w:pPr>
      <w:r w:rsidRPr="00FC7A12">
        <w:rPr>
          <w:lang w:val="sr-Cyrl-CS"/>
        </w:rPr>
        <w:t>Oblast bоračko invalidske zaštite obuhvata zaštitu boraca,</w:t>
      </w:r>
      <w:r w:rsidRPr="00FC7A12">
        <w:t xml:space="preserve"> </w:t>
      </w:r>
      <w:r w:rsidRPr="00FC7A12">
        <w:rPr>
          <w:lang w:val="sr-Cyrl-CS"/>
        </w:rPr>
        <w:t>porodica palih boraca, ratnih i mirnodopskih vojnih invalida,civilnih invalida rata i članova porodica umrlih boraca, vojnih invalida i civilnih invalida rata.</w:t>
      </w:r>
    </w:p>
    <w:p w:rsidR="00FB7669" w:rsidRPr="00FC7A12" w:rsidRDefault="00FB7669" w:rsidP="00F42F44">
      <w:pPr>
        <w:ind w:firstLine="709"/>
        <w:jc w:val="both"/>
      </w:pPr>
      <w:r w:rsidRPr="00FC7A12">
        <w:rPr>
          <w:lang w:val="sr-Cyrl-CS"/>
        </w:rPr>
        <w:t xml:space="preserve">  Osnovna prava korisnika su: lična invalidnina (ratni vojni invalidi,</w:t>
      </w:r>
      <w:r w:rsidR="00F42F44" w:rsidRPr="00FC7A12">
        <w:rPr>
          <w:lang w:val="sr-Latn-ME"/>
        </w:rPr>
        <w:t xml:space="preserve"> </w:t>
      </w:r>
      <w:r w:rsidRPr="00FC7A12">
        <w:rPr>
          <w:lang w:val="sr-Cyrl-CS"/>
        </w:rPr>
        <w:t>mirnodopski vojni invalidi i civilni invalidi rata),</w:t>
      </w:r>
      <w:r w:rsidRPr="00FC7A12">
        <w:t xml:space="preserve"> dodatak za njegu i pomoć od strane drugog lica</w:t>
      </w:r>
      <w:r w:rsidRPr="00FC7A12">
        <w:rPr>
          <w:lang w:val="sr-Cyrl-CS"/>
        </w:rPr>
        <w:t>, ortopedski dodatak, porodična invalidnina</w:t>
      </w:r>
      <w:r w:rsidRPr="00FC7A12">
        <w:t xml:space="preserve"> po poginulom borcu, porodična invalidnina po umrlom invalidu (ratni vojni invalidi,</w:t>
      </w:r>
      <w:r w:rsidR="00F42F44" w:rsidRPr="00FC7A12">
        <w:t xml:space="preserve"> </w:t>
      </w:r>
      <w:r w:rsidRPr="00FC7A12">
        <w:t>mirnodopski vojni invalidi i civilni invalidi rata)</w:t>
      </w:r>
      <w:r w:rsidRPr="00FC7A12">
        <w:rPr>
          <w:lang w:val="sr-Cyrl-CS"/>
        </w:rPr>
        <w:t>, uvećana porodična invalidnina, novčana naknada materijalnog obezbjeđenja boraca</w:t>
      </w:r>
      <w:r w:rsidRPr="00FC7A12">
        <w:t xml:space="preserve"> (OR-a 1912- 1918.</w:t>
      </w:r>
      <w:r w:rsidR="005A1313">
        <w:t>god.</w:t>
      </w:r>
      <w:r w:rsidRPr="00FC7A12">
        <w:t xml:space="preserve"> NOR-a 1941-1945.god)</w:t>
      </w:r>
      <w:r w:rsidRPr="00FC7A12">
        <w:rPr>
          <w:lang w:val="sr-Cyrl-CS"/>
        </w:rPr>
        <w:t>,</w:t>
      </w:r>
      <w:r w:rsidR="00F42F44" w:rsidRPr="00FC7A12">
        <w:rPr>
          <w:lang w:val="sr-Latn-ME"/>
        </w:rPr>
        <w:t xml:space="preserve"> </w:t>
      </w:r>
      <w:r w:rsidRPr="00FC7A12">
        <w:t>novcana naknada MO,</w:t>
      </w:r>
      <w:r w:rsidRPr="00FC7A12">
        <w:rPr>
          <w:lang w:val="sr-Cyrl-CS"/>
        </w:rPr>
        <w:t xml:space="preserve"> porodični dodatak,</w:t>
      </w:r>
      <w:r w:rsidR="00F42F44" w:rsidRPr="00FC7A12">
        <w:rPr>
          <w:lang w:val="sr-Latn-ME"/>
        </w:rPr>
        <w:t xml:space="preserve"> </w:t>
      </w:r>
      <w:r w:rsidRPr="00FC7A12">
        <w:rPr>
          <w:lang w:val="sr-Cyrl-CS"/>
        </w:rPr>
        <w:t>zdravstvena zaštita,</w:t>
      </w:r>
      <w:r w:rsidR="00F42F44" w:rsidRPr="00FC7A12">
        <w:rPr>
          <w:lang w:val="sr-Latn-ME"/>
        </w:rPr>
        <w:t xml:space="preserve"> </w:t>
      </w:r>
      <w:r w:rsidRPr="00FC7A12">
        <w:rPr>
          <w:lang w:val="sr-Cyrl-CS"/>
        </w:rPr>
        <w:t>ortopedska pomagala, besplatna i povlašćena vožnja i pogrebni troškovi.</w:t>
      </w:r>
    </w:p>
    <w:p w:rsidR="00FB7669" w:rsidRPr="00FC7A12" w:rsidRDefault="00FB7669" w:rsidP="00E34D60">
      <w:pPr>
        <w:ind w:firstLine="720"/>
        <w:jc w:val="both"/>
      </w:pPr>
      <w:r w:rsidRPr="00FC7A12">
        <w:t>Odjeljenje za socijalnu, dječiju i</w:t>
      </w:r>
      <w:r w:rsidR="00F0149E" w:rsidRPr="00FC7A12">
        <w:t xml:space="preserve"> zdravstvenu zaštitu je i u 2020</w:t>
      </w:r>
      <w:r w:rsidRPr="00FC7A12">
        <w:t>. godini, sprovodilo aktivnosti na polju pružanja pomoći i podrške marginalizovanim grupama građana opštine Nikšić, kao i na polju zalaganja za unapređenje i razvoj sistema socijalne i dječije zaštite u opštini Nikšić.</w:t>
      </w:r>
    </w:p>
    <w:p w:rsidR="00F0149E" w:rsidRPr="00FC7A12" w:rsidRDefault="00FB7669" w:rsidP="00E34D60">
      <w:pPr>
        <w:ind w:firstLine="720"/>
        <w:jc w:val="both"/>
      </w:pPr>
      <w:r w:rsidRPr="00FC7A12">
        <w:t xml:space="preserve">Odjeljenje za socijalnu, dječiju i zdravstvenu zaštitu je u skladu sa Zakonom o socijalnom stanovanju i Programom socijalnog stanovanja, u predviđenom roku, donijelo Lokalni program socijalnog stanovanja Opštine Nikšić za 2020. godinu, na koje je Ministarstvo turizma i održivog razvoja dalo saglasnost. </w:t>
      </w:r>
    </w:p>
    <w:p w:rsidR="00F0149E" w:rsidRPr="00FC7A12" w:rsidRDefault="00F0149E" w:rsidP="00F0149E">
      <w:pPr>
        <w:ind w:firstLine="720"/>
        <w:jc w:val="both"/>
        <w:rPr>
          <w:lang w:val="en-US"/>
        </w:rPr>
      </w:pPr>
      <w:r w:rsidRPr="00FC7A12">
        <w:rPr>
          <w:lang w:val="en-US"/>
        </w:rPr>
        <w:t xml:space="preserve">Izvršena je redovna revizija stanarskih prava u naselju Gračanica (10 romskih stambenih jedinica) zbog posledica izazvanih korona virusom; revizija stanarskih prava, po potrebi, shodno zahtjevima stanara koji žive u opštinskim stambenim jedinacama, a uglavnom zbog uslova </w:t>
      </w:r>
      <w:r w:rsidRPr="00FC7A12">
        <w:rPr>
          <w:lang w:val="en-US"/>
        </w:rPr>
        <w:lastRenderedPageBreak/>
        <w:t>stanovanja, predaje stambene jedinice, provjere korišćenja iste, rješavanja pitanja u vezi sa snabdijevanjem električnom energijom.</w:t>
      </w:r>
    </w:p>
    <w:p w:rsidR="00F0149E" w:rsidRPr="00FC7A12" w:rsidRDefault="00F0149E" w:rsidP="00F0149E">
      <w:pPr>
        <w:ind w:firstLine="720"/>
        <w:jc w:val="both"/>
        <w:rPr>
          <w:lang w:val="en-US"/>
        </w:rPr>
      </w:pPr>
      <w:r w:rsidRPr="00FC7A12">
        <w:rPr>
          <w:lang w:val="en-US"/>
        </w:rPr>
        <w:t>Na korišćenje je dodijeljeno 5 stambenih jedinica (u naseljima Humci i Gračanica) i dato 18 ugovora o zakupu stana.</w:t>
      </w:r>
    </w:p>
    <w:p w:rsidR="00F0149E" w:rsidRPr="00FC7A12" w:rsidRDefault="00F0149E" w:rsidP="00F0149E">
      <w:pPr>
        <w:ind w:firstLine="720"/>
        <w:jc w:val="both"/>
        <w:rPr>
          <w:lang w:val="en-US"/>
        </w:rPr>
      </w:pPr>
      <w:r w:rsidRPr="00FC7A12">
        <w:rPr>
          <w:lang w:val="en-US"/>
        </w:rPr>
        <w:t>Opština Nikšić pokrenula je Projekat „Nikšić je moja adresa“, koji podrazumijeva obezbjeđivanje subvencija za stambene kredite, koji će biti po veoma povoljnim uslovima. Projekat je koncipiran sa ciljem izlaska u susret različitim ciljnim grupama. Posebna pažnja usmjerena je na mlade bračne parove, a u prioritetne ciljne grupe prepoznate su i osobe sa invaliditetom, samohrani roditelji, kao i domaćinstva sa djecom sa smetnjama u razvoju.</w:t>
      </w:r>
    </w:p>
    <w:p w:rsidR="00F0149E" w:rsidRPr="00FC7A12" w:rsidRDefault="00F0149E" w:rsidP="00F0149E">
      <w:pPr>
        <w:ind w:firstLine="720"/>
        <w:jc w:val="both"/>
        <w:rPr>
          <w:lang w:val="en-US"/>
        </w:rPr>
      </w:pPr>
      <w:r w:rsidRPr="00FC7A12">
        <w:rPr>
          <w:lang w:val="en-US"/>
        </w:rPr>
        <w:t>Tokom decembra 2020. godine, sa ciljem unapređenja usluga iz oblasti socijalne i dječije zaštite, pristupilo se izradi dvije odluke, i to Odluk</w:t>
      </w:r>
      <w:r w:rsidRPr="00FC7A12">
        <w:t>e o pružanju usluge Pomoć u kući odraslom i starom licu sa invaliditetom u opštini Nikšić za 2021. godinu i Odluke o utvrđivanju novčane naknade za novorođeno dijete na području opštine Nikšić. U vezi sa ovim odlukama, sprovedena je procedura javne rasprave i akti su pripremljeni za usvajanje na prvoj narednoj sjednici Skupštine opštine.</w:t>
      </w:r>
    </w:p>
    <w:p w:rsidR="00F0149E" w:rsidRPr="00FC7A12" w:rsidRDefault="00F0149E" w:rsidP="00F0149E">
      <w:pPr>
        <w:ind w:firstLine="720"/>
        <w:jc w:val="both"/>
        <w:rPr>
          <w:lang w:val="en-US"/>
        </w:rPr>
      </w:pPr>
      <w:r w:rsidRPr="00FC7A12">
        <w:rPr>
          <w:lang w:val="en-US"/>
        </w:rPr>
        <w:t>U okviru drugih oblika socijalne zaštite značajno je istaći da je Crveni krst u saradnji sa Sekretarijatom za kulturu, sport, mlade i socijalno staranje sproveo akciju raspodjele oko 50 paketa hrane za porodice u stanju socijalne potrebe.</w:t>
      </w:r>
    </w:p>
    <w:p w:rsidR="00F0149E" w:rsidRPr="00FC7A12" w:rsidRDefault="00F0149E" w:rsidP="00F0149E">
      <w:pPr>
        <w:ind w:firstLine="720"/>
        <w:jc w:val="both"/>
        <w:rPr>
          <w:lang w:val="en-US"/>
        </w:rPr>
      </w:pPr>
      <w:r w:rsidRPr="00FC7A12">
        <w:rPr>
          <w:lang w:val="en-US"/>
        </w:rPr>
        <w:t>Kao i prethodnih godina, donijeta je Informacija o ostvarivanju socijalne politike u opštini Nikšić u 2019. godini, putem izvještaja rada JU Centar za socijalni rad za opštine Nikšić, Plužine i Šavnik, Opštinske organizacije Crvenog krsta, opštinskog sektora za socijalno staranje i odjeljenja za izbjeglice i raseljena lica.</w:t>
      </w:r>
    </w:p>
    <w:p w:rsidR="00FB7669" w:rsidRPr="00FC7A12" w:rsidRDefault="00FB7669" w:rsidP="00F0149E">
      <w:pPr>
        <w:ind w:firstLine="708"/>
        <w:jc w:val="both"/>
      </w:pPr>
      <w:r w:rsidRPr="00FC7A12">
        <w:t>Polazeći od zaključaka Skupštine opštine Nikšić i predsjednika Opštine kojim se definišu zadaci u oblasti sporta i fizičke kulture i ostvarivanja javnog interesa u 2019. godini, Sektor za sport vršio je poslove  koji se odnose na:</w:t>
      </w:r>
    </w:p>
    <w:p w:rsidR="00FB7669" w:rsidRPr="00FC7A12" w:rsidRDefault="00FB7669" w:rsidP="00570B2F">
      <w:pPr>
        <w:numPr>
          <w:ilvl w:val="0"/>
          <w:numId w:val="17"/>
        </w:numPr>
        <w:jc w:val="both"/>
      </w:pPr>
      <w:r w:rsidRPr="00FC7A12">
        <w:t>Pripremanje Programa rada i kriterijuma za finansiranje sportskih aktivnosti i sportskih organizacija,</w:t>
      </w:r>
    </w:p>
    <w:p w:rsidR="00FB7669" w:rsidRPr="00FC7A12" w:rsidRDefault="00FB7669" w:rsidP="00570B2F">
      <w:pPr>
        <w:numPr>
          <w:ilvl w:val="0"/>
          <w:numId w:val="17"/>
        </w:numPr>
        <w:jc w:val="both"/>
      </w:pPr>
      <w:r w:rsidRPr="00FC7A12">
        <w:t>Podsticanje, unaprjeđenje i razvoj sporta i fizičke kulture,</w:t>
      </w:r>
    </w:p>
    <w:p w:rsidR="00FB7669" w:rsidRPr="00FC7A12" w:rsidRDefault="00FB7669" w:rsidP="00570B2F">
      <w:pPr>
        <w:numPr>
          <w:ilvl w:val="0"/>
          <w:numId w:val="17"/>
        </w:numPr>
        <w:jc w:val="both"/>
      </w:pPr>
      <w:r w:rsidRPr="00FC7A12">
        <w:t>Određivanje uslova i pružanje mišljenja od osnivanja ustanova i organizacija u ovoj oblasti,</w:t>
      </w:r>
    </w:p>
    <w:p w:rsidR="00FB7669" w:rsidRPr="00FC7A12" w:rsidRDefault="00FB7669" w:rsidP="00570B2F">
      <w:pPr>
        <w:numPr>
          <w:ilvl w:val="0"/>
          <w:numId w:val="17"/>
        </w:numPr>
        <w:jc w:val="both"/>
      </w:pPr>
      <w:r w:rsidRPr="00FC7A12">
        <w:t>Organizovanje sportskih manifestacija, razvoj i unaprjeđenje školskog sporta, sportskih škola, masovnih škola fizičke kulture i rekreacije,</w:t>
      </w:r>
    </w:p>
    <w:p w:rsidR="00FB7669" w:rsidRPr="00FC7A12" w:rsidRDefault="00FB7669" w:rsidP="00570B2F">
      <w:pPr>
        <w:numPr>
          <w:ilvl w:val="0"/>
          <w:numId w:val="17"/>
        </w:numPr>
        <w:jc w:val="both"/>
      </w:pPr>
      <w:r w:rsidRPr="00FC7A12">
        <w:t>Ostvarivanje prava sportista i klubova, dodjeljivanja nagrada i priznanja u oblasti sporta i fizičke kulture uopšte,</w:t>
      </w:r>
    </w:p>
    <w:p w:rsidR="00FB7669" w:rsidRPr="00FC7A12" w:rsidRDefault="00FB7669" w:rsidP="00570B2F">
      <w:pPr>
        <w:numPr>
          <w:ilvl w:val="0"/>
          <w:numId w:val="17"/>
        </w:numPr>
        <w:jc w:val="both"/>
      </w:pPr>
      <w:r w:rsidRPr="00FC7A12">
        <w:t>Stvaranje uslova za bavljenje sportom i rekreacijom i izgradnjom sportskih objekata,</w:t>
      </w:r>
    </w:p>
    <w:p w:rsidR="00FB7669" w:rsidRPr="00FC7A12" w:rsidRDefault="00FB7669" w:rsidP="00570B2F">
      <w:pPr>
        <w:numPr>
          <w:ilvl w:val="0"/>
          <w:numId w:val="17"/>
        </w:numPr>
        <w:jc w:val="both"/>
      </w:pPr>
      <w:r w:rsidRPr="00FC7A12">
        <w:t>Usavršavanje kadrova i drugih poslova koji su u nadležnosti Sektora za sport, a shodno Zakonu o sportu, nacionalnom Programu razvoja sporta u Crnoj Gori i Odluci o finansiranju sporta u opštini Nikšić.</w:t>
      </w:r>
    </w:p>
    <w:p w:rsidR="008D20FD" w:rsidRPr="00FC7A12" w:rsidRDefault="008D20FD" w:rsidP="008D20FD">
      <w:pPr>
        <w:ind w:left="1428"/>
        <w:jc w:val="both"/>
      </w:pPr>
    </w:p>
    <w:p w:rsidR="00FB7669" w:rsidRPr="00FC7A12" w:rsidRDefault="00FB7669" w:rsidP="00E34D60">
      <w:pPr>
        <w:ind w:firstLine="720"/>
        <w:sectPr w:rsidR="00FB7669" w:rsidRPr="00FC7A12" w:rsidSect="00E35137">
          <w:footerReference w:type="default" r:id="rId11"/>
          <w:type w:val="continuous"/>
          <w:pgSz w:w="12240" w:h="15840"/>
          <w:pgMar w:top="1440" w:right="1260" w:bottom="1170" w:left="1440" w:header="720" w:footer="720" w:gutter="0"/>
          <w:pgNumType w:start="1"/>
          <w:cols w:space="720"/>
          <w:titlePg/>
          <w:docGrid w:linePitch="360"/>
        </w:sectPr>
      </w:pPr>
      <w:r w:rsidRPr="00FC7A12">
        <w:t>Pridržavajući se Programa rada Sektora za sport i postavljenim ci</w:t>
      </w:r>
      <w:r w:rsidR="008D20FD" w:rsidRPr="00FC7A12">
        <w:t xml:space="preserve">ljevima i zadacima  realizovani su sljedeći </w:t>
      </w:r>
      <w:r w:rsidRPr="00FC7A12">
        <w:t xml:space="preserve"> P</w:t>
      </w:r>
      <w:r w:rsidR="008D20FD" w:rsidRPr="00FC7A12">
        <w:t>p</w:t>
      </w:r>
      <w:r w:rsidRPr="00FC7A12">
        <w:t>o</w:t>
      </w:r>
      <w:r w:rsidR="00F0149E" w:rsidRPr="00FC7A12">
        <w:t>gramske sadržaje u 2020</w:t>
      </w:r>
      <w:r w:rsidR="008D20FD" w:rsidRPr="00FC7A12">
        <w:t>. godini:</w:t>
      </w:r>
    </w:p>
    <w:p w:rsidR="00FB7669" w:rsidRPr="00FC7A12" w:rsidRDefault="00764435" w:rsidP="00E34D60">
      <w:pPr>
        <w:jc w:val="both"/>
      </w:pPr>
      <w:r w:rsidRPr="00FC7A12">
        <w:lastRenderedPageBreak/>
        <w:t xml:space="preserve">            </w:t>
      </w:r>
      <w:r w:rsidR="00FB7669" w:rsidRPr="00FC7A12">
        <w:t xml:space="preserve">1. Organizacija tradicionalne “Škole skijanja“ </w:t>
      </w:r>
    </w:p>
    <w:p w:rsidR="00403A6B" w:rsidRPr="00FC7A12" w:rsidRDefault="00FB7669" w:rsidP="00E34D60">
      <w:pPr>
        <w:ind w:firstLine="720"/>
        <w:jc w:val="both"/>
      </w:pPr>
      <w:r w:rsidRPr="00FC7A12">
        <w:t xml:space="preserve">2. Organizacija i sprovođenje Opštinskog prvenstva u okviru Školskih sportskih igara (ŠSI). </w:t>
      </w:r>
    </w:p>
    <w:p w:rsidR="00403A6B" w:rsidRPr="00FC7A12" w:rsidRDefault="00FB7669" w:rsidP="00E34D60">
      <w:pPr>
        <w:ind w:firstLine="720"/>
        <w:jc w:val="both"/>
      </w:pPr>
      <w:r w:rsidRPr="00FC7A12">
        <w:t xml:space="preserve">3. Organizovanje regionalnog takmičenja za ekipe koje su osvojile prva mjesta u 6 sportova na opštinskim takmičenjima. </w:t>
      </w:r>
    </w:p>
    <w:p w:rsidR="00403A6B" w:rsidRPr="00FC7A12" w:rsidRDefault="00FB7669" w:rsidP="00E34D60">
      <w:pPr>
        <w:ind w:firstLine="720"/>
        <w:jc w:val="both"/>
      </w:pPr>
      <w:r w:rsidRPr="00FC7A12">
        <w:t>4. Vođenje i učešće školskih ekipa iz našeg grada na Državnom prvenstvu u fudbalu u Baru</w:t>
      </w:r>
      <w:r w:rsidR="00F0149E" w:rsidRPr="00FC7A12">
        <w:t xml:space="preserve">   </w:t>
      </w:r>
    </w:p>
    <w:p w:rsidR="00FB7669" w:rsidRPr="00FC7A12" w:rsidRDefault="00F0149E" w:rsidP="00E34D60">
      <w:pPr>
        <w:ind w:firstLine="540"/>
        <w:jc w:val="both"/>
      </w:pPr>
      <w:r w:rsidRPr="00FC7A12">
        <w:t>5</w:t>
      </w:r>
      <w:r w:rsidR="00FB7669" w:rsidRPr="00FC7A12">
        <w:t xml:space="preserve">. Organizacija sastanaka i dodjela termina sportskim klubovima radi korišćenja sadržaja  Sportskog centra za održavanje treninga i odigravanje utakmica, a na teret budžetskih sredstava Opštine Nikšić. </w:t>
      </w:r>
    </w:p>
    <w:p w:rsidR="00FB7669" w:rsidRPr="00FC7A12" w:rsidRDefault="00FB7669" w:rsidP="00E34D60">
      <w:pPr>
        <w:ind w:firstLine="720"/>
        <w:jc w:val="both"/>
      </w:pPr>
      <w:r w:rsidRPr="00FC7A12">
        <w:t xml:space="preserve">8. Sprovođenje aktivnosti i prikupljanje prijedloga i dokumentacije za proglašenje najboljeg </w:t>
      </w:r>
      <w:r w:rsidR="00F0149E" w:rsidRPr="00FC7A12">
        <w:t>sportiste godine Nikšića za 2020</w:t>
      </w:r>
      <w:r w:rsidRPr="00FC7A12">
        <w:t>. godinu.</w:t>
      </w:r>
    </w:p>
    <w:p w:rsidR="00C10CA4" w:rsidRPr="00FC7A12" w:rsidRDefault="00C10CA4" w:rsidP="00C10CA4">
      <w:pPr>
        <w:ind w:firstLine="720"/>
        <w:jc w:val="both"/>
      </w:pPr>
      <w:r w:rsidRPr="00FC7A12">
        <w:t>Najuspješnija sportska organizacija je Karate Klub „Onogošt“, najuspješniji trener Dragoljub Fatić“ – KK“Onogošt“, najbolji sportski radnik Đorđe Goranović .</w:t>
      </w:r>
    </w:p>
    <w:p w:rsidR="00F0149E" w:rsidRPr="00FC7A12" w:rsidRDefault="00C10CA4" w:rsidP="00C10CA4">
      <w:pPr>
        <w:ind w:firstLine="720"/>
        <w:jc w:val="both"/>
      </w:pPr>
      <w:r w:rsidRPr="00FC7A12">
        <w:t>Najbolji pojedinac u sportskoj rekreaciji Bosiljka Drobnjak, najuspješniji sportski novinar u 2020. godini je Ivan Roćenović-RTV Nikšić, najuspješniji pedagog fizičke kulture u 2020.godini je Ranko Perović.</w:t>
      </w:r>
    </w:p>
    <w:p w:rsidR="00FB7669" w:rsidRPr="00FC7A12" w:rsidRDefault="00FB7669" w:rsidP="00E34D60">
      <w:pPr>
        <w:ind w:firstLine="720"/>
        <w:jc w:val="both"/>
      </w:pPr>
      <w:r w:rsidRPr="00FC7A12">
        <w:t>Svi  navedeni zadaci realizovani su u cilju zadovoljenja javnog interesa animiranja što većeg broja naših sugrađana za bavljenjem sportskim i rekreativnim aktivnostima, unaprjeđenja i razvoja sporta i afirmacije Nikšića i Crne Gore.</w:t>
      </w:r>
    </w:p>
    <w:p w:rsidR="00FB7669" w:rsidRPr="00FC7A12" w:rsidRDefault="00FB7669" w:rsidP="00E34D60">
      <w:pPr>
        <w:jc w:val="both"/>
      </w:pPr>
      <w:r w:rsidRPr="00FC7A12">
        <w:t xml:space="preserve">              Kancelarija za prevenciju narkomanije svoje aktivnosti realizuje kroz različite oblike djelovanja, a to su predavanja, radionice i tribine, a ciljna grupa su učenici završnih razreda osnovnih škola, kao i učenici prvog i drugog razreda svih pet srednjih škola u opštini.</w:t>
      </w:r>
    </w:p>
    <w:p w:rsidR="00C10CA4" w:rsidRPr="00FC7A12" w:rsidRDefault="00C10CA4" w:rsidP="00C10CA4">
      <w:pPr>
        <w:ind w:firstLine="720"/>
        <w:jc w:val="both"/>
        <w:rPr>
          <w:lang w:val="en-US"/>
        </w:rPr>
      </w:pPr>
      <w:r w:rsidRPr="00FC7A12">
        <w:t>Tokom 2020. godine</w:t>
      </w:r>
      <w:r w:rsidR="00FB7669" w:rsidRPr="00FC7A12">
        <w:t xml:space="preserve"> preventi</w:t>
      </w:r>
      <w:r w:rsidRPr="00FC7A12">
        <w:t>vnim radom obuhvaćeno je oko 150</w:t>
      </w:r>
      <w:r w:rsidR="00FB7669" w:rsidRPr="00FC7A12">
        <w:t xml:space="preserve">0 učenika </w:t>
      </w:r>
      <w:r w:rsidRPr="00FC7A12">
        <w:t xml:space="preserve">osnovnih i srednjih škola, a zbog aktuelne pandemije COVID-19 plan i program nije u potpunosti realizovan. </w:t>
      </w:r>
    </w:p>
    <w:p w:rsidR="00FB7669" w:rsidRPr="00FC7A12" w:rsidRDefault="00C10CA4" w:rsidP="00C10CA4">
      <w:pPr>
        <w:jc w:val="both"/>
      </w:pPr>
      <w:r w:rsidRPr="00FC7A12">
        <w:t xml:space="preserve">           </w:t>
      </w:r>
      <w:r w:rsidR="00FB7669" w:rsidRPr="00FC7A12">
        <w:t>Kancelarija za prevenciju bolesti zavisnosti bavi se i savjetodavnim radom sa roditeljima koji se obr</w:t>
      </w:r>
      <w:r w:rsidR="00BF627F" w:rsidRPr="00FC7A12">
        <w:t>aćaju za psiho-edukativnu pomoć.</w:t>
      </w:r>
      <w:r w:rsidR="005A1313">
        <w:t xml:space="preserve"> </w:t>
      </w:r>
      <w:r w:rsidR="00FB7669" w:rsidRPr="00FC7A12">
        <w:t>Kroz razgovor sa roditeljima Kancelarija nastoji  da pruži svaku pomoć u skladu sa svojim mogućnostima bilo da je riječ o savjetu za liječenje djece koja su već u problemu ili za konsultacije kako da se problemi izbjegnu. Kancelarija raspolaže i testovima na droge koje  zainteresovani roditelji mogu dobiti besplatno. Tokom prošle g</w:t>
      </w:r>
      <w:r w:rsidR="00BF627F" w:rsidRPr="00FC7A12">
        <w:t xml:space="preserve">odine izdato je oko stotinu </w:t>
      </w:r>
      <w:r w:rsidR="00FB7669" w:rsidRPr="00FC7A12">
        <w:t>testova.</w:t>
      </w:r>
    </w:p>
    <w:p w:rsidR="00FB7669" w:rsidRPr="00FC7A12" w:rsidRDefault="00FB7669" w:rsidP="00E34D60">
      <w:pPr>
        <w:autoSpaceDE w:val="0"/>
        <w:autoSpaceDN w:val="0"/>
        <w:adjustRightInd w:val="0"/>
        <w:ind w:firstLine="720"/>
        <w:jc w:val="both"/>
      </w:pPr>
      <w:r w:rsidRPr="00FC7A12">
        <w:t xml:space="preserve">Sekretarijat za kulturu, sport, mlade i socijalno staranje utvrđuje i sprovodi politiku za mlade, na nivou </w:t>
      </w:r>
      <w:r w:rsidRPr="00FC7A12">
        <w:rPr>
          <w:i/>
        </w:rPr>
        <w:t>Kancelarije za mlade</w:t>
      </w:r>
      <w:r w:rsidRPr="00FC7A12">
        <w:t xml:space="preserve">. </w:t>
      </w:r>
    </w:p>
    <w:p w:rsidR="00BF627F" w:rsidRPr="00FC7A12" w:rsidRDefault="00BF627F" w:rsidP="00BF627F">
      <w:pPr>
        <w:autoSpaceDE w:val="0"/>
        <w:autoSpaceDN w:val="0"/>
        <w:adjustRightInd w:val="0"/>
        <w:ind w:firstLine="720"/>
        <w:jc w:val="both"/>
      </w:pPr>
      <w:r w:rsidRPr="00FC7A12">
        <w:t>Tokom 2020.</w:t>
      </w:r>
      <w:r w:rsidR="005A1313">
        <w:t xml:space="preserve"> </w:t>
      </w:r>
      <w:r w:rsidRPr="00FC7A12">
        <w:t>godine realizovano je vi</w:t>
      </w:r>
      <w:r w:rsidRPr="00FC7A12">
        <w:rPr>
          <w:lang w:val="sr-Latn-ME"/>
        </w:rPr>
        <w:t>š</w:t>
      </w:r>
      <w:r w:rsidRPr="00FC7A12">
        <w:t>e aktivnosti od kojih se ističe implementacija Programa podsticanja zapošljavanja mladih u opštini Nikšić.</w:t>
      </w:r>
    </w:p>
    <w:p w:rsidR="00BF627F" w:rsidRPr="00FC7A12" w:rsidRDefault="00BF627F" w:rsidP="00E34D60">
      <w:pPr>
        <w:autoSpaceDE w:val="0"/>
        <w:autoSpaceDN w:val="0"/>
        <w:adjustRightInd w:val="0"/>
        <w:ind w:firstLine="720"/>
        <w:jc w:val="both"/>
      </w:pPr>
      <w:r w:rsidRPr="00FC7A12">
        <w:t>Program podsticanja zapošljavanja mladih u opštini Nikšić tokom 2020.</w:t>
      </w:r>
      <w:r w:rsidR="005A1313">
        <w:t xml:space="preserve"> </w:t>
      </w:r>
      <w:r w:rsidRPr="00FC7A12">
        <w:t>godine dva puta je produžen za po 6 mjeseci za više od 50 mladih, tako da će se ovaj program implementirati i tokom 2021.</w:t>
      </w:r>
      <w:r w:rsidR="005A1313">
        <w:t xml:space="preserve"> </w:t>
      </w:r>
      <w:r w:rsidRPr="00FC7A12">
        <w:t>godine. Shodno obavezama po Programu i ugovorima između Opštine i poslodavca kao i ugovorima između korisnika i poslodavca, učesnici u Programu redovno dostavljaju dokaze o uplatama mjesečnih naknada za angažovanje. Evidencija o poslodavcima, korisnicima Programa kao i mjesečnim uplatama i svim promjenama vodi se u Kancelariji za mlade.</w:t>
      </w:r>
    </w:p>
    <w:p w:rsidR="006E2F9C" w:rsidRPr="00FC7A12" w:rsidRDefault="006E2F9C" w:rsidP="006E2F9C">
      <w:pPr>
        <w:autoSpaceDE w:val="0"/>
        <w:autoSpaceDN w:val="0"/>
        <w:adjustRightInd w:val="0"/>
        <w:ind w:firstLine="720"/>
        <w:jc w:val="both"/>
        <w:rPr>
          <w:lang w:val="en-US"/>
        </w:rPr>
      </w:pPr>
      <w:r w:rsidRPr="00FC7A12">
        <w:rPr>
          <w:lang w:val="en-US"/>
        </w:rPr>
        <w:t>Lokalni akcioni plan za mlade u opštini Nikšić za period 2020-2021 godina je dokument koji definiše osnovne probleme mladih u opštini Nikšić, kao i konkretne mjere i aktivnosti za njihovo prevazilaženje, u cilju stvaranja preduslova za unapređenje kvaliteta života mladih. Tokom prethodne godine</w:t>
      </w:r>
      <w:r w:rsidR="005A1313">
        <w:rPr>
          <w:lang w:val="en-US"/>
        </w:rPr>
        <w:t xml:space="preserve"> su, pored složene epidemijske</w:t>
      </w:r>
      <w:r w:rsidRPr="00FC7A12">
        <w:rPr>
          <w:lang w:val="en-US"/>
        </w:rPr>
        <w:t xml:space="preserve"> situacije i mjera i zabrana koje se odnose na okupljanja, realizovane neke od aktivnosti definisanih planom dok je dio njih odložen za narednu godinu. </w:t>
      </w:r>
    </w:p>
    <w:p w:rsidR="006E2F9C" w:rsidRPr="00FC7A12" w:rsidRDefault="006E2F9C" w:rsidP="006E2F9C">
      <w:pPr>
        <w:autoSpaceDE w:val="0"/>
        <w:autoSpaceDN w:val="0"/>
        <w:adjustRightInd w:val="0"/>
        <w:ind w:firstLine="720"/>
        <w:jc w:val="both"/>
      </w:pPr>
      <w:r w:rsidRPr="00FC7A12">
        <w:lastRenderedPageBreak/>
        <w:t>Poseban akcenat treba staviti na po</w:t>
      </w:r>
      <w:r w:rsidRPr="00FC7A12">
        <w:rPr>
          <w:lang w:val="sr-Latn-ME"/>
        </w:rPr>
        <w:t>č</w:t>
      </w:r>
      <w:r w:rsidRPr="00FC7A12">
        <w:t>etak realizacije projekta „Krenimo zajedno“, tokom novembra i decembra mjeseca 2020. godine. Cilj projekta jeste pružanje stručne i tehničke podrške za realizaciju ideja mladih Nikšića. Naime, raspisan je Javni poziv za ideje na koji su mogli da se jave nezaposleni mladi do 35 godina, koji imaju kreativne, inovativne i održive ideje od koristi za zajednicu. Nosioci tri najbolje rangirane ideje dobili su mogućnost da dalje razvijaju ideju, uz podršku Tima čiji je član i rukovodilac Kancelarije za mlade. Za implementaciju ovog projekta Opština Nikšić je obezbijedila opremu i prostor u kojem će mladi nosioci ideja sa svojim timovima raditi u narednom periodu.</w:t>
      </w:r>
    </w:p>
    <w:p w:rsidR="006E2F9C" w:rsidRPr="00FC7A12" w:rsidRDefault="006E2F9C" w:rsidP="006E2F9C">
      <w:pPr>
        <w:autoSpaceDE w:val="0"/>
        <w:autoSpaceDN w:val="0"/>
        <w:adjustRightInd w:val="0"/>
        <w:ind w:firstLine="720"/>
        <w:jc w:val="both"/>
      </w:pPr>
      <w:r w:rsidRPr="00FC7A12">
        <w:t>Tradicionalna aktivnost pod nazivom Dan „Mladi preuzimaju“ realizovana je putem Zoom platforme, tokom koje su mladi upoznati sa funkcionisanjem uprave, sa posebnim akcentom na aktivnosti Sekretarijata za kulturu, sport, mlade i socijalno staranje kao organa uprave koji je najbliži njihovim potrebama. Ova aktivnost sprovedena je u okviru projekta Youth Compact, gdje je Opština partner već šestu godinu.</w:t>
      </w:r>
    </w:p>
    <w:p w:rsidR="006E2F9C" w:rsidRPr="00FC7A12" w:rsidRDefault="006E2F9C" w:rsidP="006E2F9C">
      <w:pPr>
        <w:autoSpaceDE w:val="0"/>
        <w:autoSpaceDN w:val="0"/>
        <w:adjustRightInd w:val="0"/>
        <w:ind w:firstLine="720"/>
        <w:jc w:val="both"/>
        <w:rPr>
          <w:lang w:val="en-US"/>
        </w:rPr>
      </w:pPr>
      <w:r w:rsidRPr="00FC7A12">
        <w:rPr>
          <w:lang w:val="en-US"/>
        </w:rPr>
        <w:t>Shodno Zakonu o mladima, a u saradnji sa Ministarstvom sporta i mladih, tokom jula završene su i aktivnosti oko formiranja i otvaranja omladinskog servisa u Nikšiću (omladinski centar/klub). Obezbijeđen je prostor od strane Opštine, dok je nadležno ministarstvo obezbijedilo sredstva za opremanje i adaptaciju, kao i administrator/ku omladisnkog servisa. Kancelarija za mlade je sa mladima koji dolaze u servis i administratorkom održala više sastanaka i edukacija, a sve u cilju unapređenja položaja mladih. Takođe, prisustvovala je i obuci Trening za jačanje kapaciteta mladih u oblasti administrativno-tehničkog upravljanja omladinskim servisima.</w:t>
      </w:r>
    </w:p>
    <w:p w:rsidR="00FB7669" w:rsidRPr="00FC7A12" w:rsidRDefault="00FB7669" w:rsidP="00E34D60">
      <w:pPr>
        <w:autoSpaceDE w:val="0"/>
        <w:autoSpaceDN w:val="0"/>
        <w:adjustRightInd w:val="0"/>
        <w:ind w:firstLine="720"/>
        <w:jc w:val="both"/>
      </w:pPr>
      <w:r w:rsidRPr="00FC7A12">
        <w:t xml:space="preserve">Kancelarija je pratila sve aktivnosti iz oblasti politike za mlade pa je ranije uspostavljena saradnja sa relevantnim akterima lokalne omladinske politike tokom prethodne godine unaprijeđena i to nizom sastanaka i podrški koje je Kancelarija pružila pomenutim subjektima, kao i zajedničkim učešćem u brojnim aktivnostima. </w:t>
      </w:r>
    </w:p>
    <w:p w:rsidR="00A057E5" w:rsidRPr="00FC7A12" w:rsidRDefault="00A057E5" w:rsidP="00E34D60">
      <w:pPr>
        <w:jc w:val="both"/>
      </w:pPr>
    </w:p>
    <w:p w:rsidR="0012731D" w:rsidRPr="00FC7A12" w:rsidRDefault="001E0992" w:rsidP="00E34D60">
      <w:pPr>
        <w:ind w:firstLine="708"/>
        <w:jc w:val="center"/>
      </w:pPr>
      <w:r w:rsidRPr="00FC7A12">
        <w:t>*</w:t>
      </w:r>
    </w:p>
    <w:p w:rsidR="00736070" w:rsidRPr="00FC7A12" w:rsidRDefault="00736070" w:rsidP="00E34D60">
      <w:pPr>
        <w:ind w:firstLine="708"/>
        <w:jc w:val="center"/>
      </w:pPr>
    </w:p>
    <w:p w:rsidR="004E133B" w:rsidRPr="00FC7A12" w:rsidRDefault="004E133B" w:rsidP="00E34D60">
      <w:pPr>
        <w:ind w:firstLine="708"/>
        <w:jc w:val="center"/>
      </w:pPr>
    </w:p>
    <w:p w:rsidR="004E133B" w:rsidRPr="00FC7A12" w:rsidRDefault="004E133B" w:rsidP="00E34D60">
      <w:pPr>
        <w:ind w:firstLine="708"/>
        <w:jc w:val="both"/>
      </w:pPr>
      <w:r w:rsidRPr="00FC7A12">
        <w:rPr>
          <w:b/>
        </w:rPr>
        <w:t xml:space="preserve">Komunalna policija Opštine Nikšić, </w:t>
      </w:r>
      <w:r w:rsidRPr="00FC7A12">
        <w:t>kao posebna služba lokalne samouprave</w:t>
      </w:r>
      <w:r w:rsidR="0037170F" w:rsidRPr="00FC7A12">
        <w:t>,</w:t>
      </w:r>
      <w:r w:rsidRPr="00FC7A12">
        <w:t xml:space="preserve"> vrši komunalni nadzor nad zaštitom komunalnih objekata i održavanja komunalnog reda u raznim oblastima društvenog života.</w:t>
      </w:r>
    </w:p>
    <w:p w:rsidR="004E133B" w:rsidRPr="00FC7A12" w:rsidRDefault="004E133B" w:rsidP="00E34D60">
      <w:pPr>
        <w:ind w:firstLine="708"/>
        <w:jc w:val="both"/>
      </w:pPr>
      <w:r w:rsidRPr="00FC7A12">
        <w:t>Vršenje poslova Komunalne policije zasniva se na načelima zakonitosti, preventivnosti, profesionalnosti, saradnje, efikasnosti, nepristrasnosti, nediskriminacije, blagovremenosti i srazmjernosti.</w:t>
      </w:r>
    </w:p>
    <w:p w:rsidR="004E133B" w:rsidRPr="00FC7A12" w:rsidRDefault="004E133B" w:rsidP="00E34D60">
      <w:pPr>
        <w:ind w:firstLine="708"/>
        <w:jc w:val="both"/>
        <w:rPr>
          <w:b/>
        </w:rPr>
      </w:pPr>
      <w:r w:rsidRPr="00FC7A12">
        <w:t>Poslovi Komunalne policije obuhvataju komunalni nadzor i obezbjeđivanje komunalnog reda u skladu sa zakonom sa kojim se uređuje oblas</w:t>
      </w:r>
      <w:r w:rsidR="0037170F" w:rsidRPr="00FC7A12">
        <w:t>t</w:t>
      </w:r>
      <w:r w:rsidRPr="00FC7A12">
        <w:t xml:space="preserve"> komunalnih djelatnosti i druge oblasti u kojima Opština vrši sops</w:t>
      </w:r>
      <w:r w:rsidR="0037170F" w:rsidRPr="00FC7A12">
        <w:t>tvene po</w:t>
      </w:r>
      <w:r w:rsidRPr="00FC7A12">
        <w:t>s</w:t>
      </w:r>
      <w:r w:rsidR="0037170F" w:rsidRPr="00FC7A12">
        <w:t>l</w:t>
      </w:r>
      <w:r w:rsidRPr="00FC7A12">
        <w:t>ove ili poslove iz nadležnosti državne uprave koji su joj preneseni zakonom ili povjereni na osnovu zakona.</w:t>
      </w:r>
    </w:p>
    <w:p w:rsidR="00A0127D" w:rsidRPr="00FC7A12" w:rsidRDefault="004E133B" w:rsidP="00A0127D">
      <w:pPr>
        <w:ind w:firstLine="708"/>
      </w:pPr>
      <w:r w:rsidRPr="00FC7A12">
        <w:t>Pregled izdatih prekršajnih naloga oblasti komunalnih djelatnosti i u oblasti Zakona o bezbjednosti saobraćaja (ZOBSA-a):</w:t>
      </w:r>
    </w:p>
    <w:p w:rsidR="00A0127D" w:rsidRPr="00FC7A12" w:rsidRDefault="00A0127D" w:rsidP="00E34D60">
      <w:pPr>
        <w:ind w:firstLine="708"/>
      </w:pPr>
    </w:p>
    <w:p w:rsidR="004E133B" w:rsidRPr="00FC7A12" w:rsidRDefault="0037170F" w:rsidP="00570B2F">
      <w:pPr>
        <w:pStyle w:val="ListParagraph"/>
        <w:numPr>
          <w:ilvl w:val="0"/>
          <w:numId w:val="18"/>
        </w:numPr>
      </w:pPr>
      <w:r w:rsidRPr="00FC7A12">
        <w:t>s</w:t>
      </w:r>
      <w:r w:rsidR="00A0127D" w:rsidRPr="00FC7A12">
        <w:t xml:space="preserve">hodno ZOBS-u za nepropisno parkiranje,  izdata su 3745 </w:t>
      </w:r>
      <w:r w:rsidR="004E133B" w:rsidRPr="00FC7A12">
        <w:t xml:space="preserve"> prekršajna naloga,</w:t>
      </w:r>
    </w:p>
    <w:p w:rsidR="004E133B" w:rsidRPr="00FC7A12" w:rsidRDefault="0037170F" w:rsidP="00570B2F">
      <w:pPr>
        <w:pStyle w:val="ListParagraph"/>
        <w:numPr>
          <w:ilvl w:val="0"/>
          <w:numId w:val="18"/>
        </w:numPr>
      </w:pPr>
      <w:r w:rsidRPr="00FC7A12">
        <w:t>s</w:t>
      </w:r>
      <w:r w:rsidR="004E133B" w:rsidRPr="00FC7A12">
        <w:t>hod</w:t>
      </w:r>
      <w:r w:rsidR="00A0127D" w:rsidRPr="00FC7A12">
        <w:t xml:space="preserve">no Zakonu o komunalnim djelatnostima zbog korišćenja komunalnog objekta suprotno njegovoj namjeni, za odlaganje komunalnog otpada van mjesta predviđenog za tu namjenu, na  obalama i u koritima vodotoka, kao i za prekop javne površine, izdato je 14 prekršajnih </w:t>
      </w:r>
      <w:r w:rsidR="004E133B" w:rsidRPr="00FC7A12">
        <w:t xml:space="preserve"> naloga,</w:t>
      </w:r>
    </w:p>
    <w:p w:rsidR="00A0127D" w:rsidRPr="00FC7A12" w:rsidRDefault="00A0127D" w:rsidP="00570B2F">
      <w:pPr>
        <w:pStyle w:val="ListParagraph"/>
        <w:numPr>
          <w:ilvl w:val="0"/>
          <w:numId w:val="18"/>
        </w:numPr>
      </w:pPr>
      <w:r w:rsidRPr="00FC7A12">
        <w:t>shodno Zakonu o komunalnoj policiji zbog ne stavljanja na uvid traženog odobrenja,  izdata su 4 prekršajna naloga,</w:t>
      </w:r>
    </w:p>
    <w:p w:rsidR="004E133B" w:rsidRPr="00FC7A12" w:rsidRDefault="0037170F" w:rsidP="00570B2F">
      <w:pPr>
        <w:pStyle w:val="ListParagraph"/>
        <w:numPr>
          <w:ilvl w:val="0"/>
          <w:numId w:val="18"/>
        </w:numPr>
      </w:pPr>
      <w:r w:rsidRPr="00FC7A12">
        <w:lastRenderedPageBreak/>
        <w:t>s</w:t>
      </w:r>
      <w:r w:rsidR="004E133B" w:rsidRPr="00FC7A12">
        <w:t>hodno Zakonu o turi</w:t>
      </w:r>
      <w:r w:rsidR="00A0127D" w:rsidRPr="00FC7A12">
        <w:t>zmu i ugostiteljstvu zbog narušavanja komunalnog reda bukom,  izdata su 4</w:t>
      </w:r>
      <w:r w:rsidR="004E133B" w:rsidRPr="00FC7A12">
        <w:t xml:space="preserve"> prekršajna naloga,</w:t>
      </w:r>
    </w:p>
    <w:p w:rsidR="004E133B" w:rsidRPr="00FC7A12" w:rsidRDefault="0037170F" w:rsidP="00570B2F">
      <w:pPr>
        <w:pStyle w:val="ListParagraph"/>
        <w:numPr>
          <w:ilvl w:val="0"/>
          <w:numId w:val="18"/>
        </w:numPr>
      </w:pPr>
      <w:r w:rsidRPr="00FC7A12">
        <w:t>s</w:t>
      </w:r>
      <w:r w:rsidR="004E133B" w:rsidRPr="00FC7A12">
        <w:t>hodno Odlu</w:t>
      </w:r>
      <w:r w:rsidR="00A0127D" w:rsidRPr="00FC7A12">
        <w:t>ci o radnom vremenu za prekoračenje radnog vremena, izdato je 6</w:t>
      </w:r>
      <w:r w:rsidR="004E133B" w:rsidRPr="00FC7A12">
        <w:t xml:space="preserve"> prekršajnih naloga,</w:t>
      </w:r>
    </w:p>
    <w:p w:rsidR="004E133B" w:rsidRPr="00FC7A12" w:rsidRDefault="0037170F" w:rsidP="00570B2F">
      <w:pPr>
        <w:pStyle w:val="ListParagraph"/>
        <w:numPr>
          <w:ilvl w:val="0"/>
          <w:numId w:val="18"/>
        </w:numPr>
      </w:pPr>
      <w:r w:rsidRPr="00FC7A12">
        <w:t>p</w:t>
      </w:r>
      <w:r w:rsidR="00A0127D" w:rsidRPr="00FC7A12">
        <w:t xml:space="preserve">o Odluci </w:t>
      </w:r>
      <w:r w:rsidR="004E133B" w:rsidRPr="00FC7A12">
        <w:t xml:space="preserve"> o komunalnom uređenju teritorije opštine Nikšić</w:t>
      </w:r>
      <w:r w:rsidR="00A0127D" w:rsidRPr="00FC7A12">
        <w:t xml:space="preserve"> za nepropisno </w:t>
      </w:r>
      <w:r w:rsidR="004E133B" w:rsidRPr="00FC7A12">
        <w:t xml:space="preserve"> </w:t>
      </w:r>
      <w:r w:rsidR="00A0127D" w:rsidRPr="00FC7A12">
        <w:t xml:space="preserve">parkiranje na javnim  površinama, izdato je </w:t>
      </w:r>
      <w:r w:rsidR="004E133B" w:rsidRPr="00FC7A12">
        <w:t xml:space="preserve"> </w:t>
      </w:r>
      <w:r w:rsidR="00A0127D" w:rsidRPr="00FC7A12">
        <w:t>76 prekršajnih</w:t>
      </w:r>
      <w:r w:rsidR="004E133B" w:rsidRPr="00FC7A12">
        <w:t xml:space="preserve"> naloga,</w:t>
      </w:r>
    </w:p>
    <w:p w:rsidR="00A0127D" w:rsidRPr="00FC7A12" w:rsidRDefault="00A0127D" w:rsidP="00570B2F">
      <w:pPr>
        <w:pStyle w:val="ListParagraph"/>
        <w:numPr>
          <w:ilvl w:val="0"/>
          <w:numId w:val="18"/>
        </w:numPr>
      </w:pPr>
      <w:r w:rsidRPr="00FC7A12">
        <w:t>po Odluci  o komunalnom uređenju teritorije opštine Nikšićza  za korišćenje komunalnog objekta suprot</w:t>
      </w:r>
      <w:r w:rsidR="00414A12">
        <w:t>no njegovoj namjeni, izdata su dva</w:t>
      </w:r>
      <w:r w:rsidRPr="00FC7A12">
        <w:t xml:space="preserve"> prekršajna naloga.</w:t>
      </w:r>
    </w:p>
    <w:p w:rsidR="004E133B" w:rsidRPr="00FC7A12" w:rsidRDefault="004E133B" w:rsidP="00A0127D"/>
    <w:p w:rsidR="00A4323B" w:rsidRPr="00FC7A12" w:rsidRDefault="00A4323B" w:rsidP="00A4323B">
      <w:pPr>
        <w:ind w:firstLine="708"/>
        <w:jc w:val="both"/>
        <w:rPr>
          <w:lang w:val="en-US"/>
        </w:rPr>
      </w:pPr>
      <w:r w:rsidRPr="00FC7A12">
        <w:rPr>
          <w:lang w:val="en-US"/>
        </w:rPr>
        <w:t>Po</w:t>
      </w:r>
      <w:r w:rsidR="002F3838" w:rsidRPr="00FC7A12">
        <w:rPr>
          <w:lang w:val="en-US"/>
        </w:rPr>
        <w:t>javom virusa</w:t>
      </w:r>
      <w:r w:rsidRPr="00FC7A12">
        <w:rPr>
          <w:lang w:val="en-US"/>
        </w:rPr>
        <w:t xml:space="preserve"> COVID 19, </w:t>
      </w:r>
      <w:r w:rsidR="002F3838" w:rsidRPr="00FC7A12">
        <w:rPr>
          <w:lang w:val="en-US"/>
        </w:rPr>
        <w:t xml:space="preserve">komunalni policajci </w:t>
      </w:r>
      <w:r w:rsidRPr="00FC7A12">
        <w:rPr>
          <w:lang w:val="en-US"/>
        </w:rPr>
        <w:t xml:space="preserve">su </w:t>
      </w:r>
      <w:r w:rsidR="002F3838" w:rsidRPr="00FC7A12">
        <w:rPr>
          <w:lang w:val="en-US"/>
        </w:rPr>
        <w:t xml:space="preserve">u saradnji sa drugim  nadležnim službama bili </w:t>
      </w:r>
      <w:r w:rsidRPr="00FC7A12">
        <w:rPr>
          <w:lang w:val="en-US"/>
        </w:rPr>
        <w:t>angažovani na sprovođenju</w:t>
      </w:r>
      <w:r w:rsidR="002F3838" w:rsidRPr="00FC7A12">
        <w:rPr>
          <w:lang w:val="en-US"/>
        </w:rPr>
        <w:t xml:space="preserve"> propisanih mjera u cilju sprečavnja širenja navedenog virusa.</w:t>
      </w:r>
      <w:r w:rsidRPr="00FC7A12">
        <w:rPr>
          <w:lang w:val="en-US"/>
        </w:rPr>
        <w:t xml:space="preserve"> U </w:t>
      </w:r>
      <w:r w:rsidRPr="00FC7A12">
        <w:rPr>
          <w:lang w:val="sr-Cyrl-CS"/>
        </w:rPr>
        <w:t>skladu sa ovlašćenjima</w:t>
      </w:r>
      <w:r w:rsidRPr="00FC7A12">
        <w:rPr>
          <w:lang w:val="sr-Latn-ME"/>
        </w:rPr>
        <w:t>,</w:t>
      </w:r>
      <w:r w:rsidRPr="00FC7A12">
        <w:rPr>
          <w:lang w:val="sr-Cyrl-CS"/>
        </w:rPr>
        <w:t xml:space="preserve"> preduzimali su mjere kontinuiranog nadzora</w:t>
      </w:r>
      <w:r w:rsidRPr="00FC7A12">
        <w:rPr>
          <w:lang w:val="sr-Latn-ME"/>
        </w:rPr>
        <w:t>,</w:t>
      </w:r>
      <w:r w:rsidRPr="00FC7A12">
        <w:rPr>
          <w:lang w:val="sr-Cyrl-CS"/>
        </w:rPr>
        <w:t xml:space="preserve"> kako u užem</w:t>
      </w:r>
      <w:r w:rsidRPr="00FC7A12">
        <w:rPr>
          <w:lang w:val="sr-Latn-ME"/>
        </w:rPr>
        <w:t>,</w:t>
      </w:r>
      <w:r w:rsidRPr="00FC7A12">
        <w:rPr>
          <w:lang w:val="sr-Cyrl-CS"/>
        </w:rPr>
        <w:t xml:space="preserve"> tako i širem dijelu grada</w:t>
      </w:r>
      <w:r w:rsidR="002F3838" w:rsidRPr="00FC7A12">
        <w:rPr>
          <w:lang w:val="sr-Latn-ME"/>
        </w:rPr>
        <w:t>.</w:t>
      </w:r>
    </w:p>
    <w:p w:rsidR="00A4323B" w:rsidRPr="00FC7A12" w:rsidRDefault="00A4323B" w:rsidP="002F3838">
      <w:pPr>
        <w:ind w:firstLine="708"/>
        <w:jc w:val="both"/>
        <w:rPr>
          <w:lang w:val="en-US"/>
        </w:rPr>
      </w:pPr>
      <w:r w:rsidRPr="00FC7A12">
        <w:rPr>
          <w:lang w:val="en-US"/>
        </w:rPr>
        <w:t>U period od</w:t>
      </w:r>
      <w:r w:rsidR="002F3838" w:rsidRPr="00FC7A12">
        <w:rPr>
          <w:lang w:val="en-US"/>
        </w:rPr>
        <w:t xml:space="preserve"> sredine marta do kraja godine</w:t>
      </w:r>
      <w:r w:rsidRPr="00FC7A12">
        <w:rPr>
          <w:lang w:val="en-US"/>
        </w:rPr>
        <w:t>, pružajući podršku  inspekcijskim organima nadležnim za vršenje predviđenih kontrola, kako radnog vremena poslovnih i ugostiteljskih objekata, tako i kontrole fizičkih lica  po pitanju nošenja maski  i držanja fizičke distance, pripadnici ove službe  sačinili su 88 zapisnika i 251 službenu zabilješku.</w:t>
      </w:r>
    </w:p>
    <w:p w:rsidR="004E133B" w:rsidRPr="00FC7A12" w:rsidRDefault="0037170F" w:rsidP="00E34D60">
      <w:pPr>
        <w:ind w:firstLine="708"/>
        <w:jc w:val="both"/>
      </w:pPr>
      <w:r w:rsidRPr="00FC7A12">
        <w:t xml:space="preserve"> </w:t>
      </w:r>
      <w:r w:rsidR="004E133B" w:rsidRPr="00FC7A12">
        <w:t xml:space="preserve">U izvještajnom periodu </w:t>
      </w:r>
      <w:r w:rsidR="002F3838" w:rsidRPr="00FC7A12">
        <w:t xml:space="preserve">sačinjeno je ukupno 4309 </w:t>
      </w:r>
      <w:r w:rsidR="004E133B" w:rsidRPr="00FC7A12">
        <w:t xml:space="preserve"> zapisnik</w:t>
      </w:r>
      <w:r w:rsidR="002F3838" w:rsidRPr="00FC7A12">
        <w:t xml:space="preserve">a, 286 </w:t>
      </w:r>
      <w:r w:rsidR="004E133B" w:rsidRPr="00FC7A12">
        <w:t xml:space="preserve"> s</w:t>
      </w:r>
      <w:r w:rsidR="002F3838" w:rsidRPr="00FC7A12">
        <w:t>lužbenih zabilješki, poslato 353 saopštenja i 3.687  ob</w:t>
      </w:r>
      <w:r w:rsidR="004E133B" w:rsidRPr="00FC7A12">
        <w:t xml:space="preserve">avještenja o preuzimanju prekršajnih naloga.    </w:t>
      </w:r>
    </w:p>
    <w:p w:rsidR="001E0992" w:rsidRPr="00FC7A12" w:rsidRDefault="001E0992" w:rsidP="00E34D60">
      <w:pPr>
        <w:jc w:val="center"/>
      </w:pPr>
      <w:r w:rsidRPr="00FC7A12">
        <w:t>*</w:t>
      </w:r>
    </w:p>
    <w:p w:rsidR="001B2BC4" w:rsidRPr="00FC7A12" w:rsidRDefault="001B2BC4" w:rsidP="00E34D60">
      <w:pPr>
        <w:jc w:val="center"/>
      </w:pPr>
    </w:p>
    <w:p w:rsidR="00764435" w:rsidRPr="00FC7A12" w:rsidRDefault="00F01101" w:rsidP="00E34D60">
      <w:pPr>
        <w:jc w:val="both"/>
        <w:rPr>
          <w:lang w:val="sl-SI"/>
        </w:rPr>
      </w:pPr>
      <w:r w:rsidRPr="00FC7A12">
        <w:rPr>
          <w:lang w:val="sl-SI"/>
        </w:rPr>
        <w:t xml:space="preserve">  </w:t>
      </w:r>
      <w:r w:rsidRPr="00FC7A12">
        <w:rPr>
          <w:lang w:val="sl-SI"/>
        </w:rPr>
        <w:tab/>
      </w:r>
      <w:r w:rsidR="007C70DF" w:rsidRPr="00FC7A12">
        <w:rPr>
          <w:b/>
          <w:lang w:val="sl-SI"/>
        </w:rPr>
        <w:t>Sekretarijat</w:t>
      </w:r>
      <w:r w:rsidRPr="00FC7A12">
        <w:rPr>
          <w:b/>
          <w:lang w:val="sl-SI"/>
        </w:rPr>
        <w:t xml:space="preserve"> za inspekcijski nadzor</w:t>
      </w:r>
      <w:r w:rsidR="00F353FD" w:rsidRPr="00FC7A12">
        <w:rPr>
          <w:b/>
          <w:lang w:val="sl-SI"/>
        </w:rPr>
        <w:t xml:space="preserve"> </w:t>
      </w:r>
      <w:r w:rsidR="007C70DF" w:rsidRPr="00FC7A12">
        <w:rPr>
          <w:lang w:val="sl-SI"/>
        </w:rPr>
        <w:t>vrši nadzor u oblastima javne čistoće, prevoza i deponovanja komunalnog i drugog otpada, izgradnje, o</w:t>
      </w:r>
      <w:r w:rsidR="002F4869">
        <w:rPr>
          <w:lang w:val="sl-SI"/>
        </w:rPr>
        <w:t>državanja i korišćenja deponija</w:t>
      </w:r>
      <w:r w:rsidR="007C70DF" w:rsidRPr="00FC7A12">
        <w:rPr>
          <w:lang w:val="sl-SI"/>
        </w:rPr>
        <w:t xml:space="preserve">; </w:t>
      </w:r>
      <w:r w:rsidR="002F4869">
        <w:rPr>
          <w:lang w:val="sl-SI"/>
        </w:rPr>
        <w:t>upravljanja vodama, javnog snabd</w:t>
      </w:r>
      <w:r w:rsidR="007C70DF" w:rsidRPr="00FC7A12">
        <w:rPr>
          <w:lang w:val="sl-SI"/>
        </w:rPr>
        <w:t>ijevanja, prikupljanja, prečišćavanja i ispuštanja otpadnih voda i prikupljanja</w:t>
      </w:r>
      <w:r w:rsidR="002F4869">
        <w:rPr>
          <w:lang w:val="sl-SI"/>
        </w:rPr>
        <w:t xml:space="preserve"> i ispuštanja atmosferskih voda</w:t>
      </w:r>
      <w:r w:rsidR="007C70DF" w:rsidRPr="00FC7A12">
        <w:rPr>
          <w:lang w:val="sl-SI"/>
        </w:rPr>
        <w:t>; izgradnje, rekonstrukcije i održavanja pijaca, groblja, parkova, zelenih i drugih javnih površina, javne rasvjete, opštinskih i nekategorisanih puteva u opštoj upot</w:t>
      </w:r>
      <w:r w:rsidR="00355A32" w:rsidRPr="00FC7A12">
        <w:rPr>
          <w:lang w:val="sl-SI"/>
        </w:rPr>
        <w:t>rebi, saobraćajne signalizacije</w:t>
      </w:r>
      <w:r w:rsidR="007C70DF" w:rsidRPr="00FC7A12">
        <w:rPr>
          <w:lang w:val="sl-SI"/>
        </w:rPr>
        <w:t>; zaštite i korišćenja opštinskih i nekategor</w:t>
      </w:r>
      <w:r w:rsidR="002F4869">
        <w:rPr>
          <w:lang w:val="sl-SI"/>
        </w:rPr>
        <w:t>isanih puteva u opštoj upotrebi</w:t>
      </w:r>
      <w:r w:rsidR="007C70DF" w:rsidRPr="00FC7A12">
        <w:rPr>
          <w:lang w:val="sl-SI"/>
        </w:rPr>
        <w:t>; sahranjivanja; prevoza putnika u gradskom i prigradskom linijskom saobraćaju; auto-taxi prevoza; prevoza tereta u slučaju kada je prevoznik fizičko lice; prevoza za sopstvene potrebe i vanrednog prevoza; postavljanja privremenih, pomoćnih i montažnih objekata privremenog karaktera itd.</w:t>
      </w:r>
    </w:p>
    <w:p w:rsidR="00355A32" w:rsidRPr="00FC7A12" w:rsidRDefault="00355A32" w:rsidP="00355A32">
      <w:pPr>
        <w:ind w:firstLine="708"/>
        <w:jc w:val="both"/>
        <w:rPr>
          <w:lang w:val="sl-SI"/>
        </w:rPr>
      </w:pPr>
      <w:r w:rsidRPr="00FC7A12">
        <w:rPr>
          <w:lang w:val="sl-SI"/>
        </w:rPr>
        <w:t>U izvještajnom periodu u Sekretarijatu za inspekcijski nadzor izvršeno je: 3649 inspekcijskih pregleda, sačinjeno 2597 zapisnika, je 192 rješenja,  26 naloga o izvršenju rješenja, 26 obavještenja o vremenu uklanjanja, 36 oba</w:t>
      </w:r>
      <w:r w:rsidR="00116221">
        <w:rPr>
          <w:lang w:val="sl-SI"/>
        </w:rPr>
        <w:t>vještenja o vremenu pečaćenja, jedno</w:t>
      </w:r>
      <w:r w:rsidRPr="00FC7A12">
        <w:rPr>
          <w:lang w:val="sl-SI"/>
        </w:rPr>
        <w:t xml:space="preserve"> rješenje o troškovima  postupk</w:t>
      </w:r>
      <w:r w:rsidR="002F4869">
        <w:rPr>
          <w:lang w:val="sl-SI"/>
        </w:rPr>
        <w:t>a, dva rješenja o nenadležnosti, jedno</w:t>
      </w:r>
      <w:r w:rsidRPr="00FC7A12">
        <w:rPr>
          <w:lang w:val="sl-SI"/>
        </w:rPr>
        <w:t xml:space="preserve"> rješenje o odbijanju zahtjeva za n</w:t>
      </w:r>
      <w:r w:rsidR="002F4869">
        <w:rPr>
          <w:lang w:val="sl-SI"/>
        </w:rPr>
        <w:t xml:space="preserve">aknadu troškova, dva rješenja o obustavi postupka, tri </w:t>
      </w:r>
      <w:r w:rsidRPr="00FC7A12">
        <w:rPr>
          <w:lang w:val="sl-SI"/>
        </w:rPr>
        <w:t xml:space="preserve"> rje</w:t>
      </w:r>
      <w:r w:rsidR="002F4869">
        <w:rPr>
          <w:lang w:val="sl-SI"/>
        </w:rPr>
        <w:t>šenja o odbijanju inicijativa, dva</w:t>
      </w:r>
      <w:r w:rsidRPr="00FC7A12">
        <w:rPr>
          <w:lang w:val="sl-SI"/>
        </w:rPr>
        <w:t xml:space="preserve"> zahtjeva za pokretanje prekršajnog po</w:t>
      </w:r>
      <w:r w:rsidR="00116221">
        <w:rPr>
          <w:lang w:val="sl-SI"/>
        </w:rPr>
        <w:t xml:space="preserve">stupka, 12 krivičnih prijava i jedna </w:t>
      </w:r>
      <w:r w:rsidRPr="00FC7A12">
        <w:rPr>
          <w:lang w:val="sl-SI"/>
        </w:rPr>
        <w:t xml:space="preserve"> žalba na rješenje Suda za prekršaje.</w:t>
      </w:r>
    </w:p>
    <w:p w:rsidR="00355A32" w:rsidRPr="00FC7A12" w:rsidRDefault="00355A32" w:rsidP="00E34D60">
      <w:pPr>
        <w:jc w:val="both"/>
        <w:rPr>
          <w:lang w:val="sl-SI"/>
        </w:rPr>
      </w:pPr>
      <w:r w:rsidRPr="00FC7A12">
        <w:rPr>
          <w:lang w:val="sl-SI"/>
        </w:rPr>
        <w:t xml:space="preserve">            Tokom  izvještajnog perioda prioritet u radu Odsjeka za komunalni nadzor bile su kontrole javnih površina, tj. zauzimanje javnih površina  bez odobrenja nadležnog organa (prekop ulica, odlaganje otpada i stvari, oštećenje javne površine i javnih objekata). Takođe, kontinurano je vršena kontrola zauzimanja javnih površina postavljanjem objekata (konzervatora za sladoled, rashladnih vitrina, tendi, izložbenih polica, aparata za kokice, sladoled, pomfrit,  dječijih klackalica). Posebna pa</w:t>
      </w:r>
      <w:r w:rsidRPr="00FC7A12">
        <w:rPr>
          <w:rFonts w:eastAsiaTheme="minorHAnsi"/>
        </w:rPr>
        <w:t>žnja je posvećena</w:t>
      </w:r>
      <w:r w:rsidRPr="00FC7A12">
        <w:rPr>
          <w:lang w:val="sl-SI"/>
        </w:rPr>
        <w:t xml:space="preserve"> kontroli zauzimanja javnih površina postavljanjem otvorenih bašti ispred i u funkciji ugostitetljskih objekata na teritoriji opštine Nikšić. U izvještajnom periodu izvršena je kontrola </w:t>
      </w:r>
      <w:r w:rsidRPr="00FC7A12">
        <w:rPr>
          <w:b/>
          <w:lang w:val="sl-SI"/>
        </w:rPr>
        <w:t>97</w:t>
      </w:r>
      <w:r w:rsidRPr="00FC7A12">
        <w:rPr>
          <w:lang w:val="sl-SI"/>
        </w:rPr>
        <w:t xml:space="preserve"> subjekata zbog zauzimanja javne površine postavljanjem otvorene bašte.</w:t>
      </w:r>
    </w:p>
    <w:p w:rsidR="00355A32" w:rsidRPr="00FC7A12" w:rsidRDefault="00355A32" w:rsidP="00355A32">
      <w:pPr>
        <w:jc w:val="both"/>
        <w:rPr>
          <w:lang w:val="sl-SI"/>
        </w:rPr>
      </w:pPr>
      <w:r w:rsidRPr="00FC7A12">
        <w:rPr>
          <w:lang w:val="sl-SI"/>
        </w:rPr>
        <w:t xml:space="preserve">              U skladu sa </w:t>
      </w:r>
      <w:r w:rsidRPr="00FC7A12">
        <w:rPr>
          <w:b/>
          <w:lang w:val="sl-SI"/>
        </w:rPr>
        <w:t>Zakonom o zaštiti stanovništva od zaraznih bolesti</w:t>
      </w:r>
      <w:r w:rsidRPr="00FC7A12">
        <w:rPr>
          <w:lang w:val="sl-SI"/>
        </w:rPr>
        <w:t xml:space="preserve"> (Sl.list CG br.12/18 i 64/20) i </w:t>
      </w:r>
      <w:r w:rsidRPr="00FC7A12">
        <w:t xml:space="preserve">Naredbama o sprovođenju mjera za sprječavanje infekcije izazvane novim </w:t>
      </w:r>
      <w:r w:rsidRPr="00FC7A12">
        <w:lastRenderedPageBreak/>
        <w:t>korona virusom komunalni inspektori Sekretarijata za inspekcijski nadzor</w:t>
      </w:r>
      <w:r w:rsidRPr="00FC7A12">
        <w:rPr>
          <w:lang w:val="sl-SI"/>
        </w:rPr>
        <w:t xml:space="preserve"> su svakodnevno vr</w:t>
      </w:r>
      <w:r w:rsidRPr="00FC7A12">
        <w:rPr>
          <w:lang w:val="sr-Latn-ME"/>
        </w:rPr>
        <w:t xml:space="preserve">šili inspekcijske kontrole, </w:t>
      </w:r>
      <w:r w:rsidRPr="00FC7A12">
        <w:rPr>
          <w:lang w:val="sl-SI"/>
        </w:rPr>
        <w:t xml:space="preserve">a sve u cilju obezbjeđenja poštovanja obaveznog pridržavanja propisanih mjera fizičke udaljenosti između lica tokom boravka na otvorenom javnom mjestu, pružanja ugostiteljskih i turističkih usluga i obezbjeđenja propisane lične zaštitne opreme </w:t>
      </w:r>
      <w:r w:rsidRPr="00FC7A12">
        <w:t>(</w:t>
      </w:r>
      <w:r w:rsidRPr="00FC7A12">
        <w:rPr>
          <w:lang w:val="sl-SI"/>
        </w:rPr>
        <w:t xml:space="preserve">maski i drugih elemenata opreme) tokom rada zaposlenih. Izvršena je kontrola </w:t>
      </w:r>
      <w:r w:rsidRPr="00FC7A12">
        <w:rPr>
          <w:b/>
          <w:lang w:val="sl-SI"/>
        </w:rPr>
        <w:t xml:space="preserve">1710 </w:t>
      </w:r>
      <w:r w:rsidRPr="00FC7A12">
        <w:rPr>
          <w:lang w:val="sl-SI"/>
        </w:rPr>
        <w:t>subjekata.</w:t>
      </w:r>
    </w:p>
    <w:p w:rsidR="00355A32" w:rsidRPr="00FC7A12" w:rsidRDefault="00355A32" w:rsidP="00355A32">
      <w:pPr>
        <w:ind w:firstLine="708"/>
        <w:jc w:val="both"/>
        <w:rPr>
          <w:bCs/>
          <w:lang w:val="sl-SI"/>
        </w:rPr>
      </w:pPr>
      <w:r w:rsidRPr="00FC7A12">
        <w:rPr>
          <w:bCs/>
          <w:lang w:val="sl-SI"/>
        </w:rPr>
        <w:t xml:space="preserve">U skladu sa odredbama </w:t>
      </w:r>
      <w:r w:rsidRPr="00FC7A12">
        <w:rPr>
          <w:b/>
          <w:bCs/>
          <w:lang w:val="sl-SI"/>
        </w:rPr>
        <w:t>Zakona o turizmu  i ugostiteljstvu</w:t>
      </w:r>
      <w:r w:rsidRPr="00FC7A12">
        <w:rPr>
          <w:bCs/>
          <w:lang w:val="sl-SI"/>
        </w:rPr>
        <w:t xml:space="preserve"> vršene su kontrole u sljedećim oblastima: </w:t>
      </w:r>
    </w:p>
    <w:p w:rsidR="00355A32" w:rsidRPr="00FC7A12" w:rsidRDefault="00355A32" w:rsidP="00355A32">
      <w:pPr>
        <w:contextualSpacing/>
        <w:jc w:val="both"/>
        <w:rPr>
          <w:bCs/>
          <w:lang w:val="sl-SI"/>
        </w:rPr>
      </w:pPr>
      <w:r w:rsidRPr="00FC7A12">
        <w:rPr>
          <w:b/>
          <w:bCs/>
          <w:lang w:val="sl-SI"/>
        </w:rPr>
        <w:t xml:space="preserve">Kontrola pružaoca ugostiteljskih usluga smještaja u domaćinstvu : </w:t>
      </w:r>
    </w:p>
    <w:p w:rsidR="00355A32" w:rsidRPr="00FC7A12" w:rsidRDefault="00355A32" w:rsidP="00355A32">
      <w:pPr>
        <w:jc w:val="both"/>
        <w:rPr>
          <w:bCs/>
          <w:lang w:val="sl-SI"/>
        </w:rPr>
      </w:pPr>
      <w:r w:rsidRPr="00FC7A12">
        <w:rPr>
          <w:bCs/>
          <w:lang w:val="sl-SI"/>
        </w:rPr>
        <w:t xml:space="preserve">U izvještajnom periodu izvršena je kontrola </w:t>
      </w:r>
      <w:r w:rsidRPr="00FC7A12">
        <w:rPr>
          <w:b/>
          <w:bCs/>
          <w:lang w:val="sl-SI"/>
        </w:rPr>
        <w:t xml:space="preserve">64 </w:t>
      </w:r>
      <w:r w:rsidRPr="00FC7A12">
        <w:rPr>
          <w:bCs/>
          <w:lang w:val="sl-SI"/>
        </w:rPr>
        <w:t xml:space="preserve">pružaoca smještaja. Tom prilikom je utvrđeno da su upis u CTR po osnovu pružanja ugostiteljskih usluga privatnog smještaja u domaćinstvu tokom izvještajnog perioda izvršila </w:t>
      </w:r>
      <w:r w:rsidRPr="00FC7A12">
        <w:rPr>
          <w:b/>
          <w:bCs/>
          <w:lang w:val="sl-SI"/>
        </w:rPr>
        <w:t xml:space="preserve">36 </w:t>
      </w:r>
      <w:r w:rsidRPr="00FC7A12">
        <w:rPr>
          <w:bCs/>
          <w:lang w:val="sl-SI"/>
        </w:rPr>
        <w:t xml:space="preserve">kontrolisana subjekta. Za </w:t>
      </w:r>
      <w:r w:rsidRPr="00FC7A12">
        <w:rPr>
          <w:b/>
          <w:bCs/>
          <w:lang w:val="sl-SI"/>
        </w:rPr>
        <w:t>11</w:t>
      </w:r>
      <w:r w:rsidRPr="00FC7A12">
        <w:rPr>
          <w:bCs/>
          <w:lang w:val="sl-SI"/>
        </w:rPr>
        <w:t xml:space="preserve"> kontrolisanih subjekata donijeta su rješenja o zabrani obavljanja djelatnosti do otklanjanja nepravilnosti koje su prouzrokovale navedenu zabranu, dok je za </w:t>
      </w:r>
      <w:r w:rsidRPr="00FC7A12">
        <w:rPr>
          <w:b/>
          <w:bCs/>
          <w:lang w:val="sl-SI"/>
        </w:rPr>
        <w:t>17</w:t>
      </w:r>
      <w:r w:rsidRPr="00FC7A12">
        <w:rPr>
          <w:bCs/>
          <w:lang w:val="sl-SI"/>
        </w:rPr>
        <w:t xml:space="preserve"> kontrolisanih subjekata utvrđeno da ne obavljaju djelatnost . </w:t>
      </w:r>
    </w:p>
    <w:p w:rsidR="00355A32" w:rsidRPr="00FC7A12" w:rsidRDefault="00355A32" w:rsidP="00355A32">
      <w:pPr>
        <w:contextualSpacing/>
        <w:jc w:val="both"/>
        <w:rPr>
          <w:bCs/>
          <w:lang w:val="sl-SI"/>
        </w:rPr>
      </w:pPr>
      <w:r w:rsidRPr="00FC7A12">
        <w:rPr>
          <w:b/>
          <w:lang w:val="sl-SI"/>
        </w:rPr>
        <w:t>Kontrola</w:t>
      </w:r>
      <w:r w:rsidRPr="00FC7A12">
        <w:rPr>
          <w:lang w:val="sl-SI"/>
        </w:rPr>
        <w:t xml:space="preserve"> </w:t>
      </w:r>
      <w:r w:rsidRPr="00FC7A12">
        <w:rPr>
          <w:b/>
          <w:bCs/>
          <w:lang w:val="sl-SI"/>
        </w:rPr>
        <w:t xml:space="preserve">pružaoca ugostiteljskih usluga u privremenim objektima: </w:t>
      </w:r>
      <w:r w:rsidRPr="00FC7A12">
        <w:rPr>
          <w:bCs/>
          <w:lang w:val="sl-SI"/>
        </w:rPr>
        <w:t>U izvještajnom periodu izvršena je kontrola 18 privremenih objekata i tom prilikom utvrđeno je da odobrenje za rad posjeduje 11 ugostiteljskih objekata, dok je za 7 privremenih objekata u kojima se obavlja ugostiteljska djelatnost, postupak u toku.</w:t>
      </w:r>
    </w:p>
    <w:p w:rsidR="00355A32" w:rsidRPr="00FC7A12" w:rsidRDefault="00355A32" w:rsidP="00355A32">
      <w:pPr>
        <w:contextualSpacing/>
        <w:jc w:val="both"/>
        <w:rPr>
          <w:lang w:val="sl-SI"/>
        </w:rPr>
      </w:pPr>
      <w:r w:rsidRPr="00FC7A12">
        <w:rPr>
          <w:b/>
          <w:lang w:val="sl-SI"/>
        </w:rPr>
        <w:t>Kontrola</w:t>
      </w:r>
      <w:r w:rsidRPr="00FC7A12">
        <w:rPr>
          <w:lang w:val="sl-SI"/>
        </w:rPr>
        <w:t xml:space="preserve"> </w:t>
      </w:r>
      <w:r w:rsidRPr="00FC7A12">
        <w:rPr>
          <w:b/>
          <w:bCs/>
          <w:lang w:val="sl-SI"/>
        </w:rPr>
        <w:t xml:space="preserve">pružaoca ugostiteljskih usluga smještaja u domaćinstvu u pogledu kategorizacije objekata : </w:t>
      </w:r>
      <w:r w:rsidRPr="00FC7A12">
        <w:rPr>
          <w:lang w:val="sl-SI"/>
        </w:rPr>
        <w:t xml:space="preserve">Izvršena je kontrola </w:t>
      </w:r>
      <w:r w:rsidRPr="00FC7A12">
        <w:rPr>
          <w:b/>
          <w:lang w:val="sl-SI"/>
        </w:rPr>
        <w:t>22</w:t>
      </w:r>
      <w:r w:rsidRPr="00FC7A12">
        <w:rPr>
          <w:lang w:val="sl-SI"/>
        </w:rPr>
        <w:t xml:space="preserve"> subjekata pružaoca smještaja. Utvrđeno je da </w:t>
      </w:r>
      <w:r w:rsidRPr="00FC7A12">
        <w:rPr>
          <w:b/>
          <w:lang w:val="sl-SI"/>
        </w:rPr>
        <w:t>20 kontrolisanih</w:t>
      </w:r>
      <w:r w:rsidRPr="00FC7A12">
        <w:rPr>
          <w:lang w:val="sl-SI"/>
        </w:rPr>
        <w:t xml:space="preserve"> subjekta ispunjava uslove za dodijeljenu kategoriju ugostiteljskog objekta na osnovu Pravilnika o vrstama i minimalnim tehničkim uslovima i kategorizaciji ugostiteljskih objekata na način što je sproveden postupak provjere obaveznih i kvalitativnih standarda, dok je za 2 kontrolisana subjekta naloženo pribavljanje rješenja o kategorizaciji ugostiteljskog objekta od strane nadležnog organa.</w:t>
      </w:r>
    </w:p>
    <w:p w:rsidR="00355A32" w:rsidRPr="00FC7A12" w:rsidRDefault="00355A32" w:rsidP="00355A32">
      <w:pPr>
        <w:contextualSpacing/>
        <w:jc w:val="both"/>
        <w:rPr>
          <w:lang w:val="sl-SI"/>
        </w:rPr>
      </w:pPr>
      <w:r w:rsidRPr="00FC7A12">
        <w:rPr>
          <w:b/>
          <w:lang w:val="sl-SI"/>
        </w:rPr>
        <w:t>Kontrola</w:t>
      </w:r>
      <w:r w:rsidRPr="00FC7A12">
        <w:rPr>
          <w:lang w:val="sl-SI"/>
        </w:rPr>
        <w:t xml:space="preserve"> </w:t>
      </w:r>
      <w:r w:rsidRPr="00FC7A12">
        <w:rPr>
          <w:b/>
          <w:bCs/>
          <w:lang w:val="sl-SI"/>
        </w:rPr>
        <w:t xml:space="preserve">pružaoca ugostiteljskih usluga restorana u pogledu kategorizacije objekata: </w:t>
      </w:r>
      <w:r w:rsidRPr="00FC7A12">
        <w:rPr>
          <w:lang w:val="sl-SI"/>
        </w:rPr>
        <w:t xml:space="preserve">Izvršena je kontrola </w:t>
      </w:r>
      <w:r w:rsidRPr="00FC7A12">
        <w:rPr>
          <w:b/>
          <w:lang w:val="sl-SI"/>
        </w:rPr>
        <w:t>20</w:t>
      </w:r>
      <w:r w:rsidRPr="00FC7A12">
        <w:rPr>
          <w:lang w:val="sl-SI"/>
        </w:rPr>
        <w:t xml:space="preserve"> subjekata pružaoca ugostiteljskih usluga u restoranima. Utvrđeno je da </w:t>
      </w:r>
      <w:r w:rsidRPr="00FC7A12">
        <w:rPr>
          <w:b/>
          <w:lang w:val="sl-SI"/>
        </w:rPr>
        <w:t>13 kontrolisanih</w:t>
      </w:r>
      <w:r w:rsidRPr="00FC7A12">
        <w:rPr>
          <w:lang w:val="sl-SI"/>
        </w:rPr>
        <w:t xml:space="preserve"> subjekta ispunjava uslove za dodijeljenu kategoriju ugostiteljskog objekta na osnovu Pravilnika o vrstama i minimalnim tehničkim uslovima i kategorizaciji ugostiteljskih objekata na način što je sproveden postupak provjere obaveznih i kvalitativnih standarda. Dok je za 5 kontrolisana subjekta naloženo pribavljanje rješenja o kategorizaciji ugostiteljskog objekta od</w:t>
      </w:r>
      <w:r w:rsidR="00FF5620">
        <w:rPr>
          <w:lang w:val="sl-SI"/>
        </w:rPr>
        <w:t xml:space="preserve"> strane nadležnog organa, a za dva</w:t>
      </w:r>
      <w:r w:rsidRPr="00FC7A12">
        <w:rPr>
          <w:lang w:val="sl-SI"/>
        </w:rPr>
        <w:t xml:space="preserve"> kontrolisana subjekta u momentu inspekcijskog pregledanijesu posjedovala važeće odobrenje za rad, što je zapisnički konstatovano a zapisni su proslijeđeni na dalju nadležnost i postupanje Upravi za inspekcijske poslove – Odsjek za inspekciju turizma. </w:t>
      </w:r>
    </w:p>
    <w:p w:rsidR="00355A32" w:rsidRPr="00FC7A12" w:rsidRDefault="00C24435" w:rsidP="00355A32">
      <w:pPr>
        <w:ind w:firstLine="420"/>
        <w:jc w:val="both"/>
        <w:rPr>
          <w:lang w:val="sl-SI"/>
        </w:rPr>
      </w:pPr>
      <w:r>
        <w:rPr>
          <w:lang w:val="sl-SI"/>
        </w:rPr>
        <w:t xml:space="preserve">      Kod četiri</w:t>
      </w:r>
      <w:r w:rsidR="00355A32" w:rsidRPr="00FC7A12">
        <w:rPr>
          <w:lang w:val="sl-SI"/>
        </w:rPr>
        <w:t xml:space="preserve"> kontrolisana subjekta je utvrđeno da isti više ne obavljaju ugostiteljsku djelatnost. </w:t>
      </w:r>
    </w:p>
    <w:p w:rsidR="00355A32" w:rsidRPr="00FC7A12" w:rsidRDefault="00355A32" w:rsidP="00355A32">
      <w:pPr>
        <w:jc w:val="both"/>
        <w:rPr>
          <w:lang w:val="sl-SI"/>
        </w:rPr>
      </w:pPr>
      <w:r w:rsidRPr="00FC7A12">
        <w:rPr>
          <w:b/>
          <w:lang w:val="sl-SI"/>
        </w:rPr>
        <w:t>Kontrola subjekata u vezi zaštite od buke</w:t>
      </w:r>
      <w:r w:rsidRPr="00FC7A12">
        <w:rPr>
          <w:lang w:val="sl-SI"/>
        </w:rPr>
        <w:t xml:space="preserve">: izvršena je kontrola </w:t>
      </w:r>
      <w:r w:rsidRPr="00FC7A12">
        <w:rPr>
          <w:b/>
          <w:lang w:val="sl-SI"/>
        </w:rPr>
        <w:t>56</w:t>
      </w:r>
      <w:r w:rsidRPr="00FC7A12">
        <w:rPr>
          <w:lang w:val="sl-SI"/>
        </w:rPr>
        <w:t xml:space="preserve"> ugostiteljskih objekata u pogledu posjedovanja limitatora jačine zvuka, posjedovanja izvještaja koji izdaje akreditovana institucija za mjerenje buke o provedenim mjerama zaštite od buke i posjedovanja izvještaja o održavanju instaliranih limitatora jačine zvuka koji izdaje akreditovana institucija za mjerenje buke. Prema odredbama Zakona o turizmu i ugostiteljstvu u vezi zaštite od buke, kao i Upustvom za provođenje zakonskih mjera i radnji za zaštitu od buke od elektroakustičkih i</w:t>
      </w:r>
      <w:r w:rsidRPr="00FC7A12">
        <w:t xml:space="preserve">/ili akustičkih uređaja, u izvještajnom periodu, od strane predstavnika akreditovanog lica za mjernje buke, izvršeno je instaliranje/ugradnja limitatora jačine zvuka na uređajima preko kojih se emituje muzika u </w:t>
      </w:r>
      <w:r w:rsidRPr="00FC7A12">
        <w:rPr>
          <w:b/>
        </w:rPr>
        <w:t>9</w:t>
      </w:r>
      <w:r w:rsidRPr="00FC7A12">
        <w:t xml:space="preserve"> ugostiteljskih objekata.</w:t>
      </w:r>
      <w:r w:rsidRPr="00FC7A12">
        <w:rPr>
          <w:lang w:val="sl-SI"/>
        </w:rPr>
        <w:t xml:space="preserve"> Postupku instaliranja pored predstavnika akreditovanog lica za mjerenje buke, prisustvovali su i odgovorno lice ugostitelja, kao i nadležni komunalni inspektor Sekretarijata za inspekcijski nadzor.  Dok je u </w:t>
      </w:r>
      <w:r w:rsidRPr="00FC7A12">
        <w:rPr>
          <w:b/>
          <w:lang w:val="sl-SI"/>
        </w:rPr>
        <w:t>11</w:t>
      </w:r>
      <w:r w:rsidRPr="00FC7A12">
        <w:rPr>
          <w:lang w:val="sl-SI"/>
        </w:rPr>
        <w:t xml:space="preserve"> ugostiteljskih objekata naloženo instaliranje limitatora jačine </w:t>
      </w:r>
      <w:r w:rsidRPr="00FC7A12">
        <w:rPr>
          <w:lang w:val="sl-SI"/>
        </w:rPr>
        <w:lastRenderedPageBreak/>
        <w:t xml:space="preserve">zvuka. Takođe, utvrđeno je da </w:t>
      </w:r>
      <w:r w:rsidR="00C24435">
        <w:rPr>
          <w:b/>
          <w:lang w:val="sl-SI"/>
        </w:rPr>
        <w:t>tri</w:t>
      </w:r>
      <w:r w:rsidRPr="00FC7A12">
        <w:rPr>
          <w:lang w:val="sl-SI"/>
        </w:rPr>
        <w:t xml:space="preserve"> ugostiteljska objekta posjeduju izvještaj koji izdaje akreditovana institucija za mjerenje buke o provedenim mjerama zaštite od buke, dok je </w:t>
      </w:r>
      <w:r w:rsidR="00C24435">
        <w:rPr>
          <w:b/>
          <w:lang w:val="sl-SI"/>
        </w:rPr>
        <w:t xml:space="preserve">jednom </w:t>
      </w:r>
      <w:r w:rsidRPr="00FC7A12">
        <w:rPr>
          <w:lang w:val="sl-SI"/>
        </w:rPr>
        <w:t xml:space="preserve"> kontrolisanom subjektu naloženo pribavljanje navednog izvještaja. Utvrđeno je </w:t>
      </w:r>
      <w:r w:rsidRPr="00FC7A12">
        <w:rPr>
          <w:b/>
          <w:lang w:val="sl-SI"/>
        </w:rPr>
        <w:t xml:space="preserve">14 </w:t>
      </w:r>
      <w:r w:rsidRPr="00FC7A12">
        <w:rPr>
          <w:lang w:val="sl-SI"/>
        </w:rPr>
        <w:t>kontrolisanih ugostiteljskih objekata posjeduje</w:t>
      </w:r>
      <w:r w:rsidRPr="00FC7A12">
        <w:rPr>
          <w:b/>
          <w:lang w:val="sl-SI"/>
        </w:rPr>
        <w:t xml:space="preserve"> </w:t>
      </w:r>
      <w:r w:rsidRPr="00FC7A12">
        <w:rPr>
          <w:lang w:val="sl-SI"/>
        </w:rPr>
        <w:t xml:space="preserve">izvještaj o održavanju instaliranih limitatora jačine zvuka koji izdaje akreditovana institucija za mjerenje buke, dok je za </w:t>
      </w:r>
      <w:r w:rsidRPr="00FC7A12">
        <w:rPr>
          <w:b/>
          <w:lang w:val="sl-SI"/>
        </w:rPr>
        <w:t>18</w:t>
      </w:r>
      <w:r w:rsidRPr="00FC7A12">
        <w:rPr>
          <w:lang w:val="sl-SI"/>
        </w:rPr>
        <w:t xml:space="preserve"> kontrolisanih subjekata naloženo pribavljanje navednog izvještaja.</w:t>
      </w:r>
    </w:p>
    <w:p w:rsidR="00355A32" w:rsidRPr="00FC7A12" w:rsidRDefault="00355A32" w:rsidP="00355A32">
      <w:pPr>
        <w:contextualSpacing/>
        <w:jc w:val="both"/>
        <w:rPr>
          <w:bCs/>
          <w:lang w:val="sl-SI"/>
        </w:rPr>
      </w:pPr>
      <w:r w:rsidRPr="00FC7A12">
        <w:rPr>
          <w:b/>
          <w:lang w:val="sl-SI"/>
        </w:rPr>
        <w:t>Kontrola subjekata po pitanju zabrane točenja alkoholnih pića licima mlađim od 18 (osamnaest) godina</w:t>
      </w:r>
      <w:r w:rsidRPr="00FC7A12">
        <w:rPr>
          <w:lang w:val="sl-SI"/>
        </w:rPr>
        <w:t xml:space="preserve">: </w:t>
      </w:r>
      <w:r w:rsidRPr="00FC7A12">
        <w:rPr>
          <w:bCs/>
          <w:lang w:val="sl-SI"/>
        </w:rPr>
        <w:t xml:space="preserve">U skladu sa odredbama pomenutog Zakona u okviru akcije </w:t>
      </w:r>
      <w:r w:rsidRPr="00FC7A12">
        <w:rPr>
          <w:b/>
          <w:bCs/>
          <w:lang w:val="sl-SI"/>
        </w:rPr>
        <w:t>»Kapljica«</w:t>
      </w:r>
      <w:r w:rsidRPr="00FC7A12">
        <w:rPr>
          <w:bCs/>
          <w:lang w:val="sl-SI"/>
        </w:rPr>
        <w:t xml:space="preserve"> komunalni inspektori Sekretarijata za inspekcijski nadzor sa službenicima CB Nikšić vršili su kontrole subjekata po pitanju točenja alkohola maloljetnim licima u ugostiteljskim objektima. Tom prilikom kontrolisano je 14 subjekata.</w:t>
      </w:r>
      <w:r w:rsidR="00936CEA" w:rsidRPr="00FC7A12">
        <w:rPr>
          <w:bCs/>
          <w:lang w:val="sl-SI"/>
        </w:rPr>
        <w:t xml:space="preserve"> </w:t>
      </w:r>
      <w:r w:rsidRPr="00FC7A12">
        <w:rPr>
          <w:bCs/>
          <w:lang w:val="sl-SI"/>
        </w:rPr>
        <w:t>Izvršenim inspekcijskim pregledima utvrđeno je da u ugostiteljskim objektima u momentu kontrole nije bilo usluživanja alkoholnih i drugih pića ili napitaka koji sadrže alkohol licima mlađim od 18 (osamnaest) godina.</w:t>
      </w:r>
    </w:p>
    <w:p w:rsidR="00355A32" w:rsidRPr="00FC7A12" w:rsidRDefault="00936CEA" w:rsidP="00355A32">
      <w:pPr>
        <w:pStyle w:val="ListParagraph"/>
        <w:ind w:left="0" w:firstLine="360"/>
        <w:jc w:val="both"/>
        <w:rPr>
          <w:bCs/>
          <w:lang w:val="sl-SI"/>
        </w:rPr>
      </w:pPr>
      <w:r w:rsidRPr="00FC7A12">
        <w:rPr>
          <w:bCs/>
          <w:lang w:val="sl-SI"/>
        </w:rPr>
        <w:t xml:space="preserve">   </w:t>
      </w:r>
      <w:r w:rsidR="00355A32" w:rsidRPr="00FC7A12">
        <w:rPr>
          <w:bCs/>
          <w:lang w:val="sl-SI"/>
        </w:rPr>
        <w:t>Takođe, u skladu sa odredbama n</w:t>
      </w:r>
      <w:r w:rsidR="00C24435">
        <w:rPr>
          <w:bCs/>
          <w:lang w:val="sl-SI"/>
        </w:rPr>
        <w:t>avedenog Zakona utvrđeno je da dva</w:t>
      </w:r>
      <w:r w:rsidR="00355A32" w:rsidRPr="00FC7A12">
        <w:rPr>
          <w:bCs/>
          <w:lang w:val="sl-SI"/>
        </w:rPr>
        <w:t xml:space="preserve"> subjekta </w:t>
      </w:r>
      <w:r w:rsidR="00355A32" w:rsidRPr="00FC7A12">
        <w:rPr>
          <w:lang w:val="sl-SI"/>
        </w:rPr>
        <w:t>posjeduju rješenje o obavljanju djelatnosti u objektu vrste cetering</w:t>
      </w:r>
    </w:p>
    <w:p w:rsidR="00355A32" w:rsidRPr="00FC7A12" w:rsidRDefault="00355A32" w:rsidP="00355A32">
      <w:pPr>
        <w:pStyle w:val="ListParagraph"/>
        <w:ind w:left="0" w:firstLine="708"/>
        <w:jc w:val="both"/>
        <w:rPr>
          <w:lang w:val="sl-SI"/>
        </w:rPr>
      </w:pPr>
      <w:r w:rsidRPr="00FC7A12">
        <w:rPr>
          <w:bCs/>
          <w:lang w:val="sl-SI"/>
        </w:rPr>
        <w:t xml:space="preserve">U skladu sa odredbama </w:t>
      </w:r>
      <w:r w:rsidRPr="00FC7A12">
        <w:rPr>
          <w:b/>
          <w:bCs/>
          <w:lang w:val="sl-SI"/>
        </w:rPr>
        <w:t>Zakona o vodama</w:t>
      </w:r>
      <w:r w:rsidRPr="00FC7A12">
        <w:rPr>
          <w:bCs/>
          <w:lang w:val="sl-SI"/>
        </w:rPr>
        <w:t xml:space="preserve"> </w:t>
      </w:r>
      <w:r w:rsidRPr="00FC7A12">
        <w:rPr>
          <w:lang w:val="sl-SI"/>
        </w:rPr>
        <w:t>tokom izvještajnog perioda kontinuirano su vršeni inspekcijski pregledi vodnog tijela i vodnog zemljišta rijeka od lokalnog značaja (Gračanica, Bistrica, Mrkošnica)</w:t>
      </w:r>
      <w:r w:rsidR="00C24435">
        <w:rPr>
          <w:lang w:val="sl-SI"/>
        </w:rPr>
        <w:t>,</w:t>
      </w:r>
      <w:r w:rsidRPr="00FC7A12">
        <w:rPr>
          <w:lang w:val="sl-SI"/>
        </w:rPr>
        <w:t xml:space="preserve"> a u skladu sa nadležnostima inspektora lokalne uprave. U slučajevima gdje su utvrđene nepravilnosti (odlaganje otpada na prostoru vodnog zemljišta navedenih rijeka zapisnici i fotografije proslijeđene su nadležnom organu lokalne uprave na dalje postupanje i odlučivanje). </w:t>
      </w:r>
    </w:p>
    <w:p w:rsidR="00355A32" w:rsidRPr="00FC7A12" w:rsidRDefault="00355A32" w:rsidP="00355A32">
      <w:pPr>
        <w:jc w:val="both"/>
        <w:rPr>
          <w:bCs/>
          <w:lang w:val="sl-SI"/>
        </w:rPr>
      </w:pPr>
      <w:r w:rsidRPr="00FC7A12">
        <w:rPr>
          <w:bCs/>
          <w:lang w:val="sl-SI"/>
        </w:rPr>
        <w:t xml:space="preserve">            U skladu sa </w:t>
      </w:r>
      <w:r w:rsidRPr="00FC7A12">
        <w:rPr>
          <w:b/>
          <w:bCs/>
          <w:lang w:val="sl-SI"/>
        </w:rPr>
        <w:t xml:space="preserve">Zakonom o  upravljanju otpadom </w:t>
      </w:r>
      <w:r w:rsidRPr="00FC7A12">
        <w:rPr>
          <w:bCs/>
          <w:lang w:val="sl-SI"/>
        </w:rPr>
        <w:t>vršena je kontrola privrednih subjekata</w:t>
      </w:r>
      <w:r w:rsidRPr="00FC7A12">
        <w:rPr>
          <w:b/>
          <w:bCs/>
          <w:lang w:val="sl-SI"/>
        </w:rPr>
        <w:t xml:space="preserve"> </w:t>
      </w:r>
      <w:r w:rsidRPr="00FC7A12">
        <w:rPr>
          <w:lang w:val="sl-SI"/>
        </w:rPr>
        <w:t xml:space="preserve">po pitanju upravljanja otpadom koji nastaje prilikom obavljanja djelatnosti. Kontrolisano je ukupno </w:t>
      </w:r>
      <w:r w:rsidRPr="00FC7A12">
        <w:rPr>
          <w:b/>
          <w:lang w:val="sl-SI"/>
        </w:rPr>
        <w:t xml:space="preserve">39 </w:t>
      </w:r>
      <w:r w:rsidRPr="00FC7A12">
        <w:rPr>
          <w:lang w:val="sl-SI"/>
        </w:rPr>
        <w:t>subjekata</w:t>
      </w:r>
      <w:r w:rsidRPr="00FC7A12">
        <w:rPr>
          <w:bCs/>
          <w:lang w:val="sl-SI"/>
        </w:rPr>
        <w:t xml:space="preserve">  i tom prilikom komunalni inspektori su konstatovali da otpad koji nastaje prilikom obavljanja djelatnosti kontrolisani subjekti odlažu koristeći usluge JKP</w:t>
      </w:r>
      <w:r w:rsidR="00C24435">
        <w:rPr>
          <w:bCs/>
          <w:lang w:val="sl-SI"/>
        </w:rPr>
        <w:t xml:space="preserve"> </w:t>
      </w:r>
      <w:r w:rsidRPr="00FC7A12">
        <w:rPr>
          <w:bCs/>
          <w:lang w:val="sl-SI"/>
        </w:rPr>
        <w:t>«Komunalno« o čemu postoje ugovori  između kontrolisanih subjekata i  JK</w:t>
      </w:r>
      <w:r w:rsidR="00C24435">
        <w:rPr>
          <w:bCs/>
          <w:lang w:val="sl-SI"/>
        </w:rPr>
        <w:t xml:space="preserve"> </w:t>
      </w:r>
      <w:r w:rsidRPr="00FC7A12">
        <w:rPr>
          <w:bCs/>
          <w:lang w:val="sl-SI"/>
        </w:rPr>
        <w:t>«Komunalno« Nikšić</w:t>
      </w:r>
      <w:r w:rsidR="00936CEA" w:rsidRPr="00FC7A12">
        <w:rPr>
          <w:bCs/>
          <w:lang w:val="sl-SI"/>
        </w:rPr>
        <w:t>.</w:t>
      </w:r>
    </w:p>
    <w:p w:rsidR="00936CEA" w:rsidRPr="00FC7A12" w:rsidRDefault="00936CEA" w:rsidP="00936CEA">
      <w:pPr>
        <w:ind w:firstLine="708"/>
        <w:jc w:val="both"/>
        <w:rPr>
          <w:lang w:val="sl-SI"/>
        </w:rPr>
      </w:pPr>
      <w:r w:rsidRPr="00FC7A12">
        <w:rPr>
          <w:lang w:val="sl-SI"/>
        </w:rPr>
        <w:t xml:space="preserve">Postupajući po odredbama </w:t>
      </w:r>
      <w:r w:rsidRPr="00FC7A12">
        <w:rPr>
          <w:b/>
          <w:lang w:val="sl-SI"/>
        </w:rPr>
        <w:t>Zakona o održavanju stambenih zgrada</w:t>
      </w:r>
      <w:r w:rsidRPr="00FC7A12">
        <w:rPr>
          <w:lang w:val="sl-SI"/>
        </w:rPr>
        <w:t xml:space="preserve"> komunalni inspektori su izvršili inspekcijske preglede u 54 slučaja i to : pojave vlage u stanu (22 slučaja), zauzimanja zajedničkih prostorija zgrade (6 slučajeva), narušavanje spoljašnjeg izgleda zgrade (5 slučajeva), izvođenja radova u zgradi (5 slučajeva), uplata akontacije </w:t>
      </w:r>
      <w:r w:rsidR="00180F49">
        <w:rPr>
          <w:lang w:val="sl-SI"/>
        </w:rPr>
        <w:t>za održavanje stambene zgrade (četiri</w:t>
      </w:r>
      <w:r w:rsidRPr="00FC7A12">
        <w:rPr>
          <w:lang w:val="sl-SI"/>
        </w:rPr>
        <w:t xml:space="preserve"> slučaja), pojave dim</w:t>
      </w:r>
      <w:r w:rsidR="00180F49">
        <w:rPr>
          <w:lang w:val="sl-SI"/>
        </w:rPr>
        <w:t>a u stanu i čišćenja dimnjaka (tri</w:t>
      </w:r>
      <w:r w:rsidRPr="00FC7A12">
        <w:rPr>
          <w:lang w:val="sl-SI"/>
        </w:rPr>
        <w:t xml:space="preserve"> slučaja), kvara na vodovodnim i kanalizacionim instalacijama, kao i </w:t>
      </w:r>
      <w:r w:rsidR="00180F49">
        <w:rPr>
          <w:lang w:val="sl-SI"/>
        </w:rPr>
        <w:t>izlivanja kanalizacije zgrade (dva</w:t>
      </w:r>
      <w:r w:rsidRPr="00FC7A12">
        <w:rPr>
          <w:lang w:val="sl-SI"/>
        </w:rPr>
        <w:t xml:space="preserve"> slučaja), vlaga u poslovnim prostorima u zgradi</w:t>
      </w:r>
      <w:r w:rsidR="00C24435">
        <w:rPr>
          <w:lang w:val="sl-SI"/>
        </w:rPr>
        <w:t xml:space="preserve"> </w:t>
      </w:r>
      <w:r w:rsidR="00180F49">
        <w:rPr>
          <w:lang w:val="sl-SI"/>
        </w:rPr>
        <w:t>(dva</w:t>
      </w:r>
      <w:r w:rsidRPr="00FC7A12">
        <w:rPr>
          <w:lang w:val="sl-SI"/>
        </w:rPr>
        <w:t xml:space="preserve"> slučaja), odlaganje otpada i smeća u </w:t>
      </w:r>
      <w:r w:rsidR="00180F49">
        <w:rPr>
          <w:lang w:val="sl-SI"/>
        </w:rPr>
        <w:t>zajedničkim prostorija zgrade (dva</w:t>
      </w:r>
      <w:r w:rsidRPr="00FC7A12">
        <w:rPr>
          <w:lang w:val="sl-SI"/>
        </w:rPr>
        <w:t xml:space="preserve"> slučaj</w:t>
      </w:r>
      <w:r w:rsidR="00180F49">
        <w:rPr>
          <w:lang w:val="sl-SI"/>
        </w:rPr>
        <w:t>a), neprijatni mirisi u stanu (jedan slučaj), buka u stanu (jedan</w:t>
      </w:r>
      <w:r w:rsidRPr="00FC7A12">
        <w:rPr>
          <w:lang w:val="sl-SI"/>
        </w:rPr>
        <w:t xml:space="preserve"> slučaj)</w:t>
      </w:r>
      <w:r w:rsidR="00180F49">
        <w:rPr>
          <w:lang w:val="sl-SI"/>
        </w:rPr>
        <w:t xml:space="preserve"> i držanje životinja u zgradi (jedan slučaj), </w:t>
      </w:r>
      <w:r w:rsidRPr="00FC7A12">
        <w:rPr>
          <w:lang w:val="sl-SI"/>
        </w:rPr>
        <w:t>a u cilju utvrđivanja činjeničnog stanja i preduzimanja mjera i radnji iz nadležnosti ovog Sekretarijata.</w:t>
      </w:r>
    </w:p>
    <w:p w:rsidR="00936CEA" w:rsidRPr="00FC7A12" w:rsidRDefault="00EB4B6C" w:rsidP="00EB4B6C">
      <w:pPr>
        <w:ind w:firstLine="708"/>
        <w:jc w:val="both"/>
        <w:rPr>
          <w:lang w:val="sl-SI"/>
        </w:rPr>
      </w:pPr>
      <w:r w:rsidRPr="00FC7A12">
        <w:rPr>
          <w:lang w:val="sl-SI"/>
        </w:rPr>
        <w:t xml:space="preserve">U izvještajnom periodu primljene su </w:t>
      </w:r>
      <w:r w:rsidRPr="00FC7A12">
        <w:rPr>
          <w:b/>
          <w:lang w:val="sl-SI"/>
        </w:rPr>
        <w:t>72</w:t>
      </w:r>
      <w:r w:rsidRPr="00FC7A12">
        <w:rPr>
          <w:lang w:val="sl-SI"/>
        </w:rPr>
        <w:t xml:space="preserve"> inicijative od strane različitih subjekata  (Uprave za inspekcij</w:t>
      </w:r>
      <w:r w:rsidR="00180F49">
        <w:rPr>
          <w:lang w:val="sl-SI"/>
        </w:rPr>
        <w:t>ske poslove, drugih opštinskih sekretarijata i s</w:t>
      </w:r>
      <w:r w:rsidRPr="00FC7A12">
        <w:rPr>
          <w:lang w:val="sl-SI"/>
        </w:rPr>
        <w:t>lužbi, mjesnih zajednica i fizičkih lica), a po službenoj dužnosti komunalni inspektori su izvršili 62 inspekcijska pregleda.</w:t>
      </w:r>
    </w:p>
    <w:p w:rsidR="00EB4B6C" w:rsidRPr="00FC7A12" w:rsidRDefault="00EB4B6C" w:rsidP="00EB4B6C">
      <w:pPr>
        <w:ind w:firstLine="708"/>
        <w:jc w:val="both"/>
        <w:rPr>
          <w:lang w:val="sl-SI"/>
        </w:rPr>
      </w:pPr>
      <w:r w:rsidRPr="00FC7A12">
        <w:rPr>
          <w:lang w:val="sl-SI"/>
        </w:rPr>
        <w:t>Takođe, postupljeno je po 22 inicijative Komunalne policije.</w:t>
      </w:r>
    </w:p>
    <w:p w:rsidR="004E1459" w:rsidRPr="00FC7A12" w:rsidRDefault="004E1459" w:rsidP="004E1459">
      <w:pPr>
        <w:ind w:firstLine="708"/>
        <w:jc w:val="both"/>
        <w:rPr>
          <w:lang w:val="sl-SI"/>
        </w:rPr>
      </w:pPr>
      <w:r w:rsidRPr="00FC7A12">
        <w:rPr>
          <w:b/>
          <w:u w:val="single"/>
          <w:lang w:val="sl-SI"/>
        </w:rPr>
        <w:t>U Odsijeku za drumski saobraćaj i puteve</w:t>
      </w:r>
      <w:r w:rsidRPr="00FC7A12">
        <w:rPr>
          <w:lang w:val="sl-SI"/>
        </w:rPr>
        <w:t xml:space="preserve"> izvršeno je 504 inspekcijskih pregleda, sačinj</w:t>
      </w:r>
      <w:r w:rsidR="00180F49">
        <w:rPr>
          <w:lang w:val="sl-SI"/>
        </w:rPr>
        <w:t>eno 152 zapisnika, 7 rješenja, jedan</w:t>
      </w:r>
      <w:r w:rsidRPr="00FC7A12">
        <w:rPr>
          <w:lang w:val="sl-SI"/>
        </w:rPr>
        <w:t xml:space="preserve"> zahtjev za pokretanje prekršajnog postupka i izdat 3 prekršajni nalog. Postupajući po Rješenju Ministarstva saobraćaja i pomorstva  Crne Gore br. 142/20-15-3926/2 od 16.06.2020.godine, vršen je inspekcijski pregled prevoza putnika u međumjesnom i međunarodnom linijskom drumskom saobraćaju na teritoriji opštine Nikšić u pogledu  preuzimanja putnika izvan autobuske stanice i glavnih autobuskih stajališta određenih registrovanim i objavljenim redom vožnje.</w:t>
      </w:r>
    </w:p>
    <w:p w:rsidR="00355A32" w:rsidRPr="00FC7A12" w:rsidRDefault="00355A32" w:rsidP="00E34D60">
      <w:pPr>
        <w:jc w:val="both"/>
        <w:rPr>
          <w:lang w:val="sl-SI"/>
        </w:rPr>
      </w:pPr>
    </w:p>
    <w:p w:rsidR="00D812C3" w:rsidRPr="00FC7A12" w:rsidRDefault="00D812C3" w:rsidP="00E34D60">
      <w:pPr>
        <w:jc w:val="center"/>
      </w:pPr>
      <w:r w:rsidRPr="00FC7A12">
        <w:lastRenderedPageBreak/>
        <w:t>*</w:t>
      </w:r>
    </w:p>
    <w:p w:rsidR="000F2F2F" w:rsidRPr="00FC7A12" w:rsidRDefault="000F2F2F" w:rsidP="00E34D60">
      <w:pPr>
        <w:jc w:val="center"/>
      </w:pPr>
    </w:p>
    <w:p w:rsidR="007C0598" w:rsidRPr="00FC7A12" w:rsidRDefault="007C0598" w:rsidP="00E34D60">
      <w:pPr>
        <w:ind w:firstLine="708"/>
        <w:jc w:val="both"/>
      </w:pPr>
      <w:r w:rsidRPr="00FC7A12">
        <w:rPr>
          <w:b/>
        </w:rPr>
        <w:t>Služba zaštite i spašavanja</w:t>
      </w:r>
      <w:r w:rsidRPr="00FC7A12">
        <w:t xml:space="preserve"> operativno pokriva teritoriju opštine Nikšić</w:t>
      </w:r>
      <w:r w:rsidR="00F353FD" w:rsidRPr="00FC7A12">
        <w:t>.</w:t>
      </w:r>
      <w:r w:rsidRPr="00FC7A12">
        <w:t xml:space="preserve"> </w:t>
      </w:r>
    </w:p>
    <w:p w:rsidR="009E459C" w:rsidRPr="00FC7A12" w:rsidRDefault="009E459C" w:rsidP="00E34D60">
      <w:pPr>
        <w:ind w:firstLine="708"/>
        <w:jc w:val="both"/>
      </w:pPr>
    </w:p>
    <w:p w:rsidR="009E459C" w:rsidRPr="00FC7A12" w:rsidRDefault="009E459C" w:rsidP="009E459C">
      <w:pPr>
        <w:ind w:firstLine="720"/>
        <w:jc w:val="both"/>
        <w:rPr>
          <w:lang w:val="pl-PL"/>
        </w:rPr>
      </w:pPr>
      <w:r w:rsidRPr="00FC7A12">
        <w:t xml:space="preserve">U periodu januar - decembar 2020. godine pripadnici Službe zaštite i spašavanja Nikšić operativno su intervenisali ukupno 954 puta što je za 20 intervencija manje u odnosu na 2019. godinu (974 intervencije). </w:t>
      </w:r>
    </w:p>
    <w:p w:rsidR="009E459C" w:rsidRPr="00FC7A12" w:rsidRDefault="009E459C" w:rsidP="00E34D60">
      <w:pPr>
        <w:ind w:firstLine="708"/>
        <w:jc w:val="both"/>
      </w:pPr>
    </w:p>
    <w:p w:rsidR="009E459C" w:rsidRPr="00FC7A12" w:rsidRDefault="009E459C" w:rsidP="009E459C">
      <w:pPr>
        <w:jc w:val="both"/>
        <w:rPr>
          <w:i/>
          <w:lang w:val="sl-SI"/>
        </w:rPr>
      </w:pPr>
      <w:r w:rsidRPr="00FC7A12">
        <w:rPr>
          <w:b/>
          <w:lang w:val="sl-SI"/>
        </w:rPr>
        <w:t>Tabela 1:</w:t>
      </w:r>
      <w:r w:rsidRPr="00FC7A12">
        <w:rPr>
          <w:i/>
          <w:lang w:val="sl-SI"/>
        </w:rPr>
        <w:t xml:space="preserve"> Prikaz broja i vrsta intervencija za period januar - decembar 2020. godine</w:t>
      </w:r>
    </w:p>
    <w:p w:rsidR="009E459C" w:rsidRPr="00FC7A12" w:rsidRDefault="009E459C" w:rsidP="009E459C">
      <w:pPr>
        <w:jc w:val="both"/>
        <w:rPr>
          <w:lang w:val="sl-SI"/>
        </w:rPr>
      </w:pPr>
    </w:p>
    <w:tbl>
      <w:tblPr>
        <w:tblW w:w="9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2240"/>
        <w:gridCol w:w="521"/>
        <w:gridCol w:w="550"/>
        <w:gridCol w:w="588"/>
        <w:gridCol w:w="536"/>
        <w:gridCol w:w="532"/>
        <w:gridCol w:w="545"/>
        <w:gridCol w:w="633"/>
        <w:gridCol w:w="670"/>
        <w:gridCol w:w="636"/>
        <w:gridCol w:w="555"/>
        <w:gridCol w:w="501"/>
        <w:gridCol w:w="577"/>
      </w:tblGrid>
      <w:tr w:rsidR="009E459C" w:rsidRPr="00FC7A12" w:rsidTr="00101B95">
        <w:trPr>
          <w:trHeight w:val="301"/>
        </w:trPr>
        <w:tc>
          <w:tcPr>
            <w:tcW w:w="9670" w:type="dxa"/>
            <w:gridSpan w:val="14"/>
            <w:shd w:val="clear" w:color="auto" w:fill="B3B3B3"/>
          </w:tcPr>
          <w:p w:rsidR="009E459C" w:rsidRPr="00FC7A12" w:rsidRDefault="009E459C" w:rsidP="00101B95">
            <w:pPr>
              <w:jc w:val="center"/>
              <w:rPr>
                <w:b/>
                <w:lang w:val="sl-SI"/>
              </w:rPr>
            </w:pPr>
            <w:r w:rsidRPr="00FC7A12">
              <w:rPr>
                <w:b/>
                <w:lang w:val="sl-SI"/>
              </w:rPr>
              <w:t>Intervencije Službe zaštite i spašavanja</w:t>
            </w:r>
          </w:p>
          <w:p w:rsidR="009E459C" w:rsidRPr="00FC7A12" w:rsidRDefault="009E459C" w:rsidP="00101B95">
            <w:pPr>
              <w:jc w:val="center"/>
              <w:rPr>
                <w:b/>
                <w:lang w:val="sl-SI"/>
              </w:rPr>
            </w:pPr>
            <w:r w:rsidRPr="00FC7A12">
              <w:rPr>
                <w:b/>
                <w:lang w:val="sl-SI"/>
              </w:rPr>
              <w:t>u periodu 01.01.2020. - 31.12.2020. godine</w:t>
            </w:r>
          </w:p>
        </w:tc>
      </w:tr>
      <w:tr w:rsidR="009E459C" w:rsidRPr="00FC7A12" w:rsidTr="00101B95">
        <w:trPr>
          <w:trHeight w:val="301"/>
        </w:trPr>
        <w:tc>
          <w:tcPr>
            <w:tcW w:w="590" w:type="dxa"/>
            <w:shd w:val="clear" w:color="auto" w:fill="B3B3B3"/>
            <w:vAlign w:val="center"/>
          </w:tcPr>
          <w:p w:rsidR="009E459C" w:rsidRPr="00FC7A12" w:rsidRDefault="009E459C" w:rsidP="00101B95">
            <w:pPr>
              <w:jc w:val="center"/>
              <w:rPr>
                <w:b/>
                <w:lang w:val="sl-SI"/>
              </w:rPr>
            </w:pPr>
            <w:r w:rsidRPr="00FC7A12">
              <w:rPr>
                <w:b/>
                <w:lang w:val="sl-SI"/>
              </w:rPr>
              <w:t>Br.</w:t>
            </w:r>
          </w:p>
        </w:tc>
        <w:tc>
          <w:tcPr>
            <w:tcW w:w="2279" w:type="dxa"/>
            <w:shd w:val="clear" w:color="auto" w:fill="B3B3B3"/>
            <w:vAlign w:val="center"/>
          </w:tcPr>
          <w:p w:rsidR="009E459C" w:rsidRPr="00FC7A12" w:rsidRDefault="009E459C" w:rsidP="00101B95">
            <w:pPr>
              <w:rPr>
                <w:b/>
                <w:lang w:val="sl-SI"/>
              </w:rPr>
            </w:pPr>
            <w:r w:rsidRPr="00FC7A12">
              <w:rPr>
                <w:b/>
                <w:lang w:val="sl-SI"/>
              </w:rPr>
              <w:t>Vrsta intervencije</w:t>
            </w:r>
          </w:p>
        </w:tc>
        <w:tc>
          <w:tcPr>
            <w:tcW w:w="525" w:type="dxa"/>
            <w:shd w:val="clear" w:color="auto" w:fill="B3B3B3"/>
            <w:vAlign w:val="center"/>
          </w:tcPr>
          <w:p w:rsidR="009E459C" w:rsidRPr="00FC7A12" w:rsidRDefault="009E459C" w:rsidP="00101B95">
            <w:pPr>
              <w:jc w:val="center"/>
              <w:rPr>
                <w:b/>
                <w:lang w:val="sl-SI"/>
              </w:rPr>
            </w:pPr>
            <w:r w:rsidRPr="00FC7A12">
              <w:rPr>
                <w:b/>
                <w:lang w:val="sl-SI"/>
              </w:rPr>
              <w:t>I</w:t>
            </w:r>
          </w:p>
        </w:tc>
        <w:tc>
          <w:tcPr>
            <w:tcW w:w="556" w:type="dxa"/>
            <w:shd w:val="clear" w:color="auto" w:fill="B3B3B3"/>
            <w:vAlign w:val="center"/>
          </w:tcPr>
          <w:p w:rsidR="009E459C" w:rsidRPr="00FC7A12" w:rsidRDefault="009E459C" w:rsidP="00101B95">
            <w:pPr>
              <w:jc w:val="center"/>
              <w:rPr>
                <w:b/>
                <w:lang w:val="sl-SI"/>
              </w:rPr>
            </w:pPr>
            <w:r w:rsidRPr="00FC7A12">
              <w:rPr>
                <w:b/>
                <w:lang w:val="sl-SI"/>
              </w:rPr>
              <w:t>II</w:t>
            </w:r>
          </w:p>
        </w:tc>
        <w:tc>
          <w:tcPr>
            <w:tcW w:w="594" w:type="dxa"/>
            <w:shd w:val="clear" w:color="auto" w:fill="B3B3B3"/>
            <w:vAlign w:val="center"/>
          </w:tcPr>
          <w:p w:rsidR="009E459C" w:rsidRPr="00FC7A12" w:rsidRDefault="009E459C" w:rsidP="00101B95">
            <w:pPr>
              <w:jc w:val="center"/>
              <w:rPr>
                <w:b/>
                <w:lang w:val="sl-SI"/>
              </w:rPr>
            </w:pPr>
            <w:r w:rsidRPr="00FC7A12">
              <w:rPr>
                <w:b/>
                <w:lang w:val="sl-SI"/>
              </w:rPr>
              <w:t>III</w:t>
            </w:r>
          </w:p>
        </w:tc>
        <w:tc>
          <w:tcPr>
            <w:tcW w:w="540" w:type="dxa"/>
            <w:shd w:val="clear" w:color="auto" w:fill="B3B3B3"/>
            <w:vAlign w:val="center"/>
          </w:tcPr>
          <w:p w:rsidR="009E459C" w:rsidRPr="00FC7A12" w:rsidRDefault="009E459C" w:rsidP="00101B95">
            <w:pPr>
              <w:jc w:val="center"/>
              <w:rPr>
                <w:b/>
                <w:lang w:val="sl-SI"/>
              </w:rPr>
            </w:pPr>
            <w:r w:rsidRPr="00FC7A12">
              <w:rPr>
                <w:b/>
                <w:lang w:val="sl-SI"/>
              </w:rPr>
              <w:t>IV</w:t>
            </w:r>
          </w:p>
        </w:tc>
        <w:tc>
          <w:tcPr>
            <w:tcW w:w="537" w:type="dxa"/>
            <w:shd w:val="clear" w:color="auto" w:fill="B3B3B3"/>
            <w:vAlign w:val="center"/>
          </w:tcPr>
          <w:p w:rsidR="009E459C" w:rsidRPr="00FC7A12" w:rsidRDefault="009E459C" w:rsidP="00101B95">
            <w:pPr>
              <w:jc w:val="center"/>
              <w:rPr>
                <w:b/>
                <w:lang w:val="sl-SI"/>
              </w:rPr>
            </w:pPr>
            <w:r w:rsidRPr="00FC7A12">
              <w:rPr>
                <w:b/>
                <w:lang w:val="sl-SI"/>
              </w:rPr>
              <w:t>V</w:t>
            </w:r>
          </w:p>
        </w:tc>
        <w:tc>
          <w:tcPr>
            <w:tcW w:w="549" w:type="dxa"/>
            <w:shd w:val="clear" w:color="auto" w:fill="B3B3B3"/>
            <w:vAlign w:val="center"/>
          </w:tcPr>
          <w:p w:rsidR="009E459C" w:rsidRPr="00FC7A12" w:rsidRDefault="009E459C" w:rsidP="00101B95">
            <w:pPr>
              <w:jc w:val="center"/>
              <w:rPr>
                <w:b/>
                <w:lang w:val="sl-SI"/>
              </w:rPr>
            </w:pPr>
            <w:r w:rsidRPr="00FC7A12">
              <w:rPr>
                <w:b/>
                <w:lang w:val="sl-SI"/>
              </w:rPr>
              <w:t>VI</w:t>
            </w:r>
          </w:p>
        </w:tc>
        <w:tc>
          <w:tcPr>
            <w:tcW w:w="637" w:type="dxa"/>
            <w:shd w:val="clear" w:color="auto" w:fill="B3B3B3"/>
            <w:vAlign w:val="center"/>
          </w:tcPr>
          <w:p w:rsidR="009E459C" w:rsidRPr="00FC7A12" w:rsidRDefault="009E459C" w:rsidP="00101B95">
            <w:pPr>
              <w:jc w:val="center"/>
              <w:rPr>
                <w:b/>
                <w:lang w:val="sl-SI"/>
              </w:rPr>
            </w:pPr>
            <w:r w:rsidRPr="00FC7A12">
              <w:rPr>
                <w:b/>
                <w:lang w:val="sl-SI"/>
              </w:rPr>
              <w:t>VII</w:t>
            </w:r>
          </w:p>
        </w:tc>
        <w:tc>
          <w:tcPr>
            <w:tcW w:w="624" w:type="dxa"/>
            <w:shd w:val="clear" w:color="auto" w:fill="B3B3B3"/>
            <w:vAlign w:val="center"/>
          </w:tcPr>
          <w:p w:rsidR="009E459C" w:rsidRPr="00FC7A12" w:rsidRDefault="009E459C" w:rsidP="00101B95">
            <w:pPr>
              <w:jc w:val="center"/>
              <w:rPr>
                <w:b/>
                <w:lang w:val="sl-SI"/>
              </w:rPr>
            </w:pPr>
            <w:r w:rsidRPr="00FC7A12">
              <w:rPr>
                <w:b/>
                <w:lang w:val="sl-SI"/>
              </w:rPr>
              <w:t>VIII</w:t>
            </w:r>
          </w:p>
        </w:tc>
        <w:tc>
          <w:tcPr>
            <w:tcW w:w="640" w:type="dxa"/>
            <w:shd w:val="clear" w:color="auto" w:fill="B3B3B3"/>
            <w:vAlign w:val="center"/>
          </w:tcPr>
          <w:p w:rsidR="009E459C" w:rsidRPr="00FC7A12" w:rsidRDefault="009E459C" w:rsidP="00101B95">
            <w:pPr>
              <w:jc w:val="center"/>
              <w:rPr>
                <w:b/>
                <w:lang w:val="sl-SI"/>
              </w:rPr>
            </w:pPr>
            <w:r w:rsidRPr="00FC7A12">
              <w:rPr>
                <w:b/>
                <w:lang w:val="sl-SI"/>
              </w:rPr>
              <w:t>IX</w:t>
            </w:r>
          </w:p>
        </w:tc>
        <w:tc>
          <w:tcPr>
            <w:tcW w:w="562" w:type="dxa"/>
            <w:shd w:val="clear" w:color="auto" w:fill="B3B3B3"/>
            <w:vAlign w:val="center"/>
          </w:tcPr>
          <w:p w:rsidR="009E459C" w:rsidRPr="00FC7A12" w:rsidRDefault="009E459C" w:rsidP="00101B95">
            <w:pPr>
              <w:jc w:val="center"/>
              <w:rPr>
                <w:b/>
                <w:lang w:val="sl-SI"/>
              </w:rPr>
            </w:pPr>
            <w:r w:rsidRPr="00FC7A12">
              <w:rPr>
                <w:b/>
                <w:lang w:val="sl-SI"/>
              </w:rPr>
              <w:t>X</w:t>
            </w:r>
          </w:p>
        </w:tc>
        <w:tc>
          <w:tcPr>
            <w:tcW w:w="502" w:type="dxa"/>
            <w:shd w:val="clear" w:color="auto" w:fill="B3B3B3"/>
            <w:vAlign w:val="center"/>
          </w:tcPr>
          <w:p w:rsidR="009E459C" w:rsidRPr="00FC7A12" w:rsidRDefault="009E459C" w:rsidP="00101B95">
            <w:pPr>
              <w:jc w:val="center"/>
              <w:rPr>
                <w:b/>
                <w:lang w:val="sl-SI"/>
              </w:rPr>
            </w:pPr>
            <w:r w:rsidRPr="00FC7A12">
              <w:rPr>
                <w:b/>
                <w:lang w:val="sl-SI"/>
              </w:rPr>
              <w:t>XI</w:t>
            </w:r>
          </w:p>
        </w:tc>
        <w:tc>
          <w:tcPr>
            <w:tcW w:w="535" w:type="dxa"/>
            <w:shd w:val="clear" w:color="auto" w:fill="B3B3B3"/>
            <w:vAlign w:val="center"/>
          </w:tcPr>
          <w:p w:rsidR="009E459C" w:rsidRPr="00FC7A12" w:rsidRDefault="009E459C" w:rsidP="00101B95">
            <w:pPr>
              <w:jc w:val="center"/>
              <w:rPr>
                <w:b/>
                <w:lang w:val="sl-SI"/>
              </w:rPr>
            </w:pPr>
            <w:r w:rsidRPr="00FC7A12">
              <w:rPr>
                <w:b/>
                <w:lang w:val="sl-SI"/>
              </w:rPr>
              <w:t>XII</w:t>
            </w:r>
          </w:p>
        </w:tc>
      </w:tr>
      <w:tr w:rsidR="009E459C" w:rsidRPr="00FC7A12" w:rsidTr="00101B95">
        <w:trPr>
          <w:trHeight w:val="301"/>
        </w:trPr>
        <w:tc>
          <w:tcPr>
            <w:tcW w:w="590" w:type="dxa"/>
            <w:vMerge w:val="restart"/>
            <w:vAlign w:val="center"/>
          </w:tcPr>
          <w:p w:rsidR="009E459C" w:rsidRPr="00FC7A12" w:rsidRDefault="009E459C" w:rsidP="00101B95">
            <w:pPr>
              <w:jc w:val="center"/>
              <w:rPr>
                <w:b/>
                <w:lang w:val="sl-SI"/>
              </w:rPr>
            </w:pPr>
            <w:r w:rsidRPr="00FC7A12">
              <w:rPr>
                <w:b/>
                <w:lang w:val="sl-SI"/>
              </w:rPr>
              <w:t>1</w:t>
            </w:r>
          </w:p>
        </w:tc>
        <w:tc>
          <w:tcPr>
            <w:tcW w:w="2279" w:type="dxa"/>
            <w:vMerge w:val="restart"/>
          </w:tcPr>
          <w:p w:rsidR="009E459C" w:rsidRPr="00FC7A12" w:rsidRDefault="009E459C" w:rsidP="00101B95">
            <w:pPr>
              <w:rPr>
                <w:b/>
                <w:lang w:val="sl-SI"/>
              </w:rPr>
            </w:pPr>
          </w:p>
          <w:p w:rsidR="009E459C" w:rsidRPr="00FC7A12" w:rsidRDefault="009E459C" w:rsidP="00101B95">
            <w:pPr>
              <w:rPr>
                <w:b/>
                <w:lang w:val="sl-SI"/>
              </w:rPr>
            </w:pPr>
            <w:r w:rsidRPr="00FC7A12">
              <w:rPr>
                <w:b/>
                <w:lang w:val="sl-SI"/>
              </w:rPr>
              <w:t>Stambeni objekti</w:t>
            </w:r>
          </w:p>
          <w:p w:rsidR="009E459C" w:rsidRPr="00FC7A12" w:rsidRDefault="009E459C" w:rsidP="00101B95">
            <w:pPr>
              <w:rPr>
                <w:b/>
                <w:lang w:val="sl-SI"/>
              </w:rPr>
            </w:pPr>
          </w:p>
          <w:p w:rsidR="009E459C" w:rsidRPr="00FC7A12" w:rsidRDefault="009E459C" w:rsidP="00570B2F">
            <w:pPr>
              <w:numPr>
                <w:ilvl w:val="0"/>
                <w:numId w:val="11"/>
              </w:numPr>
              <w:tabs>
                <w:tab w:val="clear" w:pos="720"/>
              </w:tabs>
              <w:ind w:left="276" w:hanging="276"/>
              <w:rPr>
                <w:lang w:val="sl-SI"/>
              </w:rPr>
            </w:pPr>
            <w:r w:rsidRPr="00FC7A12">
              <w:rPr>
                <w:lang w:val="sl-SI"/>
              </w:rPr>
              <w:t>podrumi</w:t>
            </w:r>
          </w:p>
          <w:p w:rsidR="009E459C" w:rsidRPr="00FC7A12" w:rsidRDefault="009E459C" w:rsidP="00570B2F">
            <w:pPr>
              <w:numPr>
                <w:ilvl w:val="0"/>
                <w:numId w:val="11"/>
              </w:numPr>
              <w:tabs>
                <w:tab w:val="clear" w:pos="720"/>
              </w:tabs>
              <w:ind w:left="276" w:hanging="276"/>
              <w:rPr>
                <w:lang w:val="sl-SI"/>
              </w:rPr>
            </w:pPr>
            <w:r w:rsidRPr="00FC7A12">
              <w:rPr>
                <w:lang w:val="sl-SI"/>
              </w:rPr>
              <w:t>unutrašnjost objekta</w:t>
            </w:r>
          </w:p>
          <w:p w:rsidR="009E459C" w:rsidRPr="00FC7A12" w:rsidRDefault="009E459C" w:rsidP="00570B2F">
            <w:pPr>
              <w:numPr>
                <w:ilvl w:val="0"/>
                <w:numId w:val="11"/>
              </w:numPr>
              <w:tabs>
                <w:tab w:val="clear" w:pos="720"/>
              </w:tabs>
              <w:ind w:left="276" w:hanging="276"/>
              <w:rPr>
                <w:lang w:val="sl-SI"/>
              </w:rPr>
            </w:pPr>
            <w:r w:rsidRPr="00FC7A12">
              <w:rPr>
                <w:lang w:val="sl-SI"/>
              </w:rPr>
              <w:t>dimnjaci</w:t>
            </w:r>
          </w:p>
          <w:p w:rsidR="009E459C" w:rsidRPr="00FC7A12" w:rsidRDefault="009E459C" w:rsidP="00570B2F">
            <w:pPr>
              <w:numPr>
                <w:ilvl w:val="0"/>
                <w:numId w:val="11"/>
              </w:numPr>
              <w:tabs>
                <w:tab w:val="clear" w:pos="720"/>
              </w:tabs>
              <w:ind w:left="276" w:hanging="276"/>
              <w:rPr>
                <w:lang w:val="sl-SI"/>
              </w:rPr>
            </w:pPr>
            <w:r w:rsidRPr="00FC7A12">
              <w:rPr>
                <w:lang w:val="sl-SI"/>
              </w:rPr>
              <w:t>krovna konstrukcija</w:t>
            </w:r>
          </w:p>
        </w:tc>
        <w:tc>
          <w:tcPr>
            <w:tcW w:w="525" w:type="dxa"/>
            <w:shd w:val="clear" w:color="auto" w:fill="F3F3F3"/>
            <w:vAlign w:val="center"/>
          </w:tcPr>
          <w:p w:rsidR="009E459C" w:rsidRPr="00FC7A12" w:rsidRDefault="009E459C" w:rsidP="00101B95">
            <w:pPr>
              <w:jc w:val="center"/>
              <w:rPr>
                <w:b/>
                <w:lang w:val="sl-SI"/>
              </w:rPr>
            </w:pPr>
            <w:r w:rsidRPr="00FC7A12">
              <w:rPr>
                <w:b/>
                <w:lang w:val="sl-SI"/>
              </w:rPr>
              <w:t>18</w:t>
            </w:r>
          </w:p>
        </w:tc>
        <w:tc>
          <w:tcPr>
            <w:tcW w:w="556" w:type="dxa"/>
            <w:shd w:val="clear" w:color="auto" w:fill="F3F3F3"/>
            <w:vAlign w:val="center"/>
          </w:tcPr>
          <w:p w:rsidR="009E459C" w:rsidRPr="00FC7A12" w:rsidRDefault="009E459C" w:rsidP="00101B95">
            <w:pPr>
              <w:jc w:val="center"/>
              <w:rPr>
                <w:b/>
                <w:lang w:val="sl-SI"/>
              </w:rPr>
            </w:pPr>
            <w:r w:rsidRPr="00FC7A12">
              <w:rPr>
                <w:b/>
                <w:lang w:val="sl-SI"/>
              </w:rPr>
              <w:t>29</w:t>
            </w:r>
          </w:p>
        </w:tc>
        <w:tc>
          <w:tcPr>
            <w:tcW w:w="594" w:type="dxa"/>
            <w:shd w:val="clear" w:color="auto" w:fill="F3F3F3"/>
            <w:vAlign w:val="center"/>
          </w:tcPr>
          <w:p w:rsidR="009E459C" w:rsidRPr="00FC7A12" w:rsidRDefault="009E459C" w:rsidP="00101B95">
            <w:pPr>
              <w:jc w:val="center"/>
              <w:rPr>
                <w:b/>
                <w:lang w:val="sl-SI"/>
              </w:rPr>
            </w:pPr>
            <w:r w:rsidRPr="00FC7A12">
              <w:rPr>
                <w:b/>
                <w:lang w:val="sl-SI"/>
              </w:rPr>
              <w:t>14</w:t>
            </w:r>
          </w:p>
        </w:tc>
        <w:tc>
          <w:tcPr>
            <w:tcW w:w="540" w:type="dxa"/>
            <w:shd w:val="clear" w:color="auto" w:fill="F3F3F3"/>
            <w:vAlign w:val="center"/>
          </w:tcPr>
          <w:p w:rsidR="009E459C" w:rsidRPr="00FC7A12" w:rsidRDefault="009E459C" w:rsidP="00101B95">
            <w:pPr>
              <w:jc w:val="center"/>
              <w:rPr>
                <w:b/>
                <w:lang w:val="sl-SI"/>
              </w:rPr>
            </w:pPr>
            <w:r w:rsidRPr="00FC7A12">
              <w:rPr>
                <w:b/>
                <w:lang w:val="sl-SI"/>
              </w:rPr>
              <w:t>10</w:t>
            </w:r>
          </w:p>
        </w:tc>
        <w:tc>
          <w:tcPr>
            <w:tcW w:w="537" w:type="dxa"/>
            <w:shd w:val="clear" w:color="auto" w:fill="F3F3F3"/>
            <w:vAlign w:val="center"/>
          </w:tcPr>
          <w:p w:rsidR="009E459C" w:rsidRPr="00FC7A12" w:rsidRDefault="009E459C" w:rsidP="00101B95">
            <w:pPr>
              <w:jc w:val="center"/>
              <w:rPr>
                <w:b/>
                <w:lang w:val="sl-SI"/>
              </w:rPr>
            </w:pPr>
            <w:r w:rsidRPr="00FC7A12">
              <w:rPr>
                <w:b/>
                <w:lang w:val="sl-SI"/>
              </w:rPr>
              <w:t>6</w:t>
            </w:r>
          </w:p>
        </w:tc>
        <w:tc>
          <w:tcPr>
            <w:tcW w:w="549" w:type="dxa"/>
            <w:shd w:val="clear" w:color="auto" w:fill="F3F3F3"/>
            <w:vAlign w:val="center"/>
          </w:tcPr>
          <w:p w:rsidR="009E459C" w:rsidRPr="00FC7A12" w:rsidRDefault="009E459C" w:rsidP="00101B95">
            <w:pPr>
              <w:jc w:val="center"/>
              <w:rPr>
                <w:b/>
                <w:lang w:val="sl-SI"/>
              </w:rPr>
            </w:pPr>
            <w:r w:rsidRPr="00FC7A12">
              <w:rPr>
                <w:b/>
                <w:lang w:val="sl-SI"/>
              </w:rPr>
              <w:t>3</w:t>
            </w:r>
          </w:p>
        </w:tc>
        <w:tc>
          <w:tcPr>
            <w:tcW w:w="637" w:type="dxa"/>
            <w:shd w:val="clear" w:color="auto" w:fill="F3F3F3"/>
            <w:vAlign w:val="center"/>
          </w:tcPr>
          <w:p w:rsidR="009E459C" w:rsidRPr="00FC7A12" w:rsidRDefault="009E459C" w:rsidP="00101B95">
            <w:pPr>
              <w:jc w:val="center"/>
              <w:rPr>
                <w:b/>
                <w:lang w:val="sl-SI"/>
              </w:rPr>
            </w:pPr>
            <w:r w:rsidRPr="00FC7A12">
              <w:rPr>
                <w:b/>
                <w:lang w:val="sl-SI"/>
              </w:rPr>
              <w:t>1</w:t>
            </w:r>
          </w:p>
        </w:tc>
        <w:tc>
          <w:tcPr>
            <w:tcW w:w="624" w:type="dxa"/>
            <w:shd w:val="clear" w:color="auto" w:fill="F3F3F3"/>
            <w:vAlign w:val="center"/>
          </w:tcPr>
          <w:p w:rsidR="009E459C" w:rsidRPr="00FC7A12" w:rsidRDefault="009E459C" w:rsidP="00101B95">
            <w:pPr>
              <w:jc w:val="center"/>
              <w:rPr>
                <w:b/>
                <w:lang w:val="sl-SI"/>
              </w:rPr>
            </w:pPr>
            <w:r w:rsidRPr="00FC7A12">
              <w:rPr>
                <w:b/>
                <w:lang w:val="sl-SI"/>
              </w:rPr>
              <w:t>3</w:t>
            </w:r>
          </w:p>
        </w:tc>
        <w:tc>
          <w:tcPr>
            <w:tcW w:w="640" w:type="dxa"/>
            <w:shd w:val="clear" w:color="auto" w:fill="F3F3F3"/>
            <w:vAlign w:val="center"/>
          </w:tcPr>
          <w:p w:rsidR="009E459C" w:rsidRPr="00FC7A12" w:rsidRDefault="009E459C" w:rsidP="00101B95">
            <w:pPr>
              <w:jc w:val="center"/>
              <w:rPr>
                <w:b/>
                <w:lang w:val="sl-SI"/>
              </w:rPr>
            </w:pPr>
            <w:r w:rsidRPr="00FC7A12">
              <w:rPr>
                <w:b/>
                <w:lang w:val="sl-SI"/>
              </w:rPr>
              <w:t>2</w:t>
            </w:r>
          </w:p>
        </w:tc>
        <w:tc>
          <w:tcPr>
            <w:tcW w:w="562" w:type="dxa"/>
            <w:shd w:val="clear" w:color="auto" w:fill="F3F3F3"/>
            <w:vAlign w:val="center"/>
          </w:tcPr>
          <w:p w:rsidR="009E459C" w:rsidRPr="00FC7A12" w:rsidRDefault="009E459C" w:rsidP="00101B95">
            <w:pPr>
              <w:jc w:val="center"/>
              <w:rPr>
                <w:b/>
                <w:lang w:val="sl-SI"/>
              </w:rPr>
            </w:pPr>
            <w:r w:rsidRPr="00FC7A12">
              <w:rPr>
                <w:b/>
                <w:lang w:val="sl-SI"/>
              </w:rPr>
              <w:t>3</w:t>
            </w:r>
          </w:p>
        </w:tc>
        <w:tc>
          <w:tcPr>
            <w:tcW w:w="502" w:type="dxa"/>
            <w:shd w:val="clear" w:color="auto" w:fill="F3F3F3"/>
            <w:vAlign w:val="center"/>
          </w:tcPr>
          <w:p w:rsidR="009E459C" w:rsidRPr="00FC7A12" w:rsidRDefault="009E459C" w:rsidP="00101B95">
            <w:pPr>
              <w:jc w:val="center"/>
              <w:rPr>
                <w:b/>
                <w:lang w:val="sl-SI"/>
              </w:rPr>
            </w:pPr>
            <w:r w:rsidRPr="00FC7A12">
              <w:rPr>
                <w:b/>
                <w:lang w:val="sl-SI"/>
              </w:rPr>
              <w:t>8</w:t>
            </w:r>
          </w:p>
        </w:tc>
        <w:tc>
          <w:tcPr>
            <w:tcW w:w="535" w:type="dxa"/>
            <w:shd w:val="clear" w:color="auto" w:fill="F3F3F3"/>
            <w:vAlign w:val="center"/>
          </w:tcPr>
          <w:p w:rsidR="009E459C" w:rsidRPr="00FC7A12" w:rsidRDefault="009E459C" w:rsidP="00101B95">
            <w:pPr>
              <w:jc w:val="center"/>
              <w:rPr>
                <w:b/>
                <w:lang w:val="sl-SI"/>
              </w:rPr>
            </w:pPr>
            <w:r w:rsidRPr="00FC7A12">
              <w:rPr>
                <w:b/>
                <w:lang w:val="sl-SI"/>
              </w:rPr>
              <w:t>9</w:t>
            </w:r>
          </w:p>
        </w:tc>
      </w:tr>
      <w:tr w:rsidR="009E459C" w:rsidRPr="00FC7A12" w:rsidTr="00101B95">
        <w:trPr>
          <w:trHeight w:val="1234"/>
        </w:trPr>
        <w:tc>
          <w:tcPr>
            <w:tcW w:w="590" w:type="dxa"/>
            <w:vMerge/>
            <w:vAlign w:val="center"/>
          </w:tcPr>
          <w:p w:rsidR="009E459C" w:rsidRPr="00FC7A12" w:rsidRDefault="009E459C" w:rsidP="00101B95">
            <w:pPr>
              <w:jc w:val="center"/>
              <w:rPr>
                <w:b/>
                <w:lang w:val="sl-SI"/>
              </w:rPr>
            </w:pPr>
          </w:p>
        </w:tc>
        <w:tc>
          <w:tcPr>
            <w:tcW w:w="2279" w:type="dxa"/>
            <w:vMerge/>
          </w:tcPr>
          <w:p w:rsidR="009E459C" w:rsidRPr="00FC7A12" w:rsidRDefault="009E459C" w:rsidP="00101B95">
            <w:pPr>
              <w:rPr>
                <w:lang w:val="sl-SI"/>
              </w:rPr>
            </w:pPr>
          </w:p>
        </w:tc>
        <w:tc>
          <w:tcPr>
            <w:tcW w:w="525" w:type="dxa"/>
            <w:vAlign w:val="center"/>
          </w:tcPr>
          <w:p w:rsidR="009E459C" w:rsidRPr="00FC7A12" w:rsidRDefault="009E459C" w:rsidP="00101B95">
            <w:pPr>
              <w:jc w:val="center"/>
              <w:rPr>
                <w:lang w:val="sl-SI"/>
              </w:rPr>
            </w:pPr>
            <w:r w:rsidRPr="00FC7A12">
              <w:rPr>
                <w:lang w:val="sl-SI"/>
              </w:rPr>
              <w:t>1</w:t>
            </w:r>
          </w:p>
          <w:p w:rsidR="009E459C" w:rsidRPr="00FC7A12" w:rsidRDefault="009E459C" w:rsidP="00101B95">
            <w:pPr>
              <w:jc w:val="center"/>
              <w:rPr>
                <w:lang w:val="sl-SI"/>
              </w:rPr>
            </w:pPr>
            <w:r w:rsidRPr="00FC7A12">
              <w:rPr>
                <w:lang w:val="sl-SI"/>
              </w:rPr>
              <w:t>4</w:t>
            </w:r>
          </w:p>
          <w:p w:rsidR="009E459C" w:rsidRPr="00FC7A12" w:rsidRDefault="009E459C" w:rsidP="00101B95">
            <w:pPr>
              <w:jc w:val="center"/>
              <w:rPr>
                <w:lang w:val="sl-SI"/>
              </w:rPr>
            </w:pPr>
            <w:r w:rsidRPr="00FC7A12">
              <w:rPr>
                <w:lang w:val="sl-SI"/>
              </w:rPr>
              <w:t>9</w:t>
            </w:r>
          </w:p>
          <w:p w:rsidR="009E459C" w:rsidRPr="00FC7A12" w:rsidRDefault="009E459C" w:rsidP="00101B95">
            <w:pPr>
              <w:jc w:val="center"/>
              <w:rPr>
                <w:lang w:val="sl-SI"/>
              </w:rPr>
            </w:pPr>
            <w:r w:rsidRPr="00FC7A12">
              <w:rPr>
                <w:lang w:val="sl-SI"/>
              </w:rPr>
              <w:t>4</w:t>
            </w:r>
          </w:p>
        </w:tc>
        <w:tc>
          <w:tcPr>
            <w:tcW w:w="556" w:type="dxa"/>
            <w:vAlign w:val="center"/>
          </w:tcPr>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3</w:t>
            </w:r>
          </w:p>
          <w:p w:rsidR="009E459C" w:rsidRPr="00FC7A12" w:rsidRDefault="009E459C" w:rsidP="00101B95">
            <w:pPr>
              <w:jc w:val="center"/>
              <w:rPr>
                <w:lang w:val="sl-SI"/>
              </w:rPr>
            </w:pPr>
            <w:r w:rsidRPr="00FC7A12">
              <w:rPr>
                <w:lang w:val="sl-SI"/>
              </w:rPr>
              <w:t>25</w:t>
            </w:r>
          </w:p>
          <w:p w:rsidR="009E459C" w:rsidRPr="00FC7A12" w:rsidRDefault="009E459C" w:rsidP="00101B95">
            <w:pPr>
              <w:jc w:val="center"/>
              <w:rPr>
                <w:lang w:val="sl-SI"/>
              </w:rPr>
            </w:pPr>
            <w:r w:rsidRPr="00FC7A12">
              <w:rPr>
                <w:lang w:val="sl-SI"/>
              </w:rPr>
              <w:t>1</w:t>
            </w:r>
          </w:p>
        </w:tc>
        <w:tc>
          <w:tcPr>
            <w:tcW w:w="594" w:type="dxa"/>
            <w:vAlign w:val="center"/>
          </w:tcPr>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12</w:t>
            </w:r>
          </w:p>
          <w:p w:rsidR="009E459C" w:rsidRPr="00FC7A12" w:rsidRDefault="009E459C" w:rsidP="00101B95">
            <w:pPr>
              <w:jc w:val="center"/>
              <w:rPr>
                <w:lang w:val="sl-SI"/>
              </w:rPr>
            </w:pPr>
            <w:r w:rsidRPr="00FC7A12">
              <w:rPr>
                <w:lang w:val="sl-SI"/>
              </w:rPr>
              <w:t>2</w:t>
            </w:r>
          </w:p>
        </w:tc>
        <w:tc>
          <w:tcPr>
            <w:tcW w:w="540" w:type="dxa"/>
            <w:vAlign w:val="center"/>
          </w:tcPr>
          <w:p w:rsidR="009E459C" w:rsidRPr="00FC7A12" w:rsidRDefault="009E459C" w:rsidP="00101B95">
            <w:pPr>
              <w:jc w:val="center"/>
              <w:rPr>
                <w:lang w:val="sl-SI"/>
              </w:rPr>
            </w:pPr>
            <w:r w:rsidRPr="00FC7A12">
              <w:rPr>
                <w:lang w:val="sl-SI"/>
              </w:rPr>
              <w:t>1</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9</w:t>
            </w:r>
          </w:p>
          <w:p w:rsidR="009E459C" w:rsidRPr="00FC7A12" w:rsidRDefault="009E459C" w:rsidP="00101B95">
            <w:pPr>
              <w:jc w:val="center"/>
              <w:rPr>
                <w:lang w:val="sl-SI"/>
              </w:rPr>
            </w:pPr>
            <w:r w:rsidRPr="00FC7A12">
              <w:rPr>
                <w:lang w:val="sl-SI"/>
              </w:rPr>
              <w:t>1</w:t>
            </w:r>
          </w:p>
        </w:tc>
        <w:tc>
          <w:tcPr>
            <w:tcW w:w="537" w:type="dxa"/>
            <w:vAlign w:val="center"/>
          </w:tcPr>
          <w:p w:rsidR="009E459C" w:rsidRPr="00FC7A12" w:rsidRDefault="009E459C" w:rsidP="00101B95">
            <w:pPr>
              <w:jc w:val="center"/>
              <w:rPr>
                <w:lang w:val="sl-SI"/>
              </w:rPr>
            </w:pPr>
            <w:r w:rsidRPr="00FC7A12">
              <w:rPr>
                <w:lang w:val="sl-SI"/>
              </w:rPr>
              <w:t>1</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3</w:t>
            </w:r>
          </w:p>
          <w:p w:rsidR="009E459C" w:rsidRPr="00FC7A12" w:rsidRDefault="009E459C" w:rsidP="00101B95">
            <w:pPr>
              <w:jc w:val="center"/>
              <w:rPr>
                <w:lang w:val="sl-SI"/>
              </w:rPr>
            </w:pPr>
            <w:r w:rsidRPr="00FC7A12">
              <w:rPr>
                <w:lang w:val="sl-SI"/>
              </w:rPr>
              <w:t>1</w:t>
            </w:r>
          </w:p>
        </w:tc>
        <w:tc>
          <w:tcPr>
            <w:tcW w:w="549" w:type="dxa"/>
            <w:vAlign w:val="center"/>
          </w:tcPr>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1</w:t>
            </w:r>
          </w:p>
          <w:p w:rsidR="009E459C" w:rsidRPr="00FC7A12" w:rsidRDefault="009E459C" w:rsidP="00101B95">
            <w:pPr>
              <w:jc w:val="center"/>
              <w:rPr>
                <w:lang w:val="sl-SI"/>
              </w:rPr>
            </w:pPr>
            <w:r w:rsidRPr="00FC7A12">
              <w:rPr>
                <w:lang w:val="sl-SI"/>
              </w:rPr>
              <w:t>2</w:t>
            </w:r>
          </w:p>
          <w:p w:rsidR="009E459C" w:rsidRPr="00FC7A12" w:rsidRDefault="009E459C" w:rsidP="00101B95">
            <w:pPr>
              <w:jc w:val="center"/>
              <w:rPr>
                <w:lang w:val="sl-SI"/>
              </w:rPr>
            </w:pPr>
            <w:r w:rsidRPr="00FC7A12">
              <w:rPr>
                <w:lang w:val="sl-SI"/>
              </w:rPr>
              <w:t>0</w:t>
            </w:r>
          </w:p>
        </w:tc>
        <w:tc>
          <w:tcPr>
            <w:tcW w:w="637" w:type="dxa"/>
            <w:vAlign w:val="center"/>
          </w:tcPr>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1</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tc>
        <w:tc>
          <w:tcPr>
            <w:tcW w:w="624" w:type="dxa"/>
            <w:vAlign w:val="center"/>
          </w:tcPr>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3</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tc>
        <w:tc>
          <w:tcPr>
            <w:tcW w:w="640" w:type="dxa"/>
            <w:vAlign w:val="center"/>
          </w:tcPr>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2</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tc>
        <w:tc>
          <w:tcPr>
            <w:tcW w:w="562" w:type="dxa"/>
            <w:vAlign w:val="center"/>
          </w:tcPr>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2</w:t>
            </w:r>
          </w:p>
          <w:p w:rsidR="009E459C" w:rsidRPr="00FC7A12" w:rsidRDefault="009E459C" w:rsidP="00101B95">
            <w:pPr>
              <w:jc w:val="center"/>
              <w:rPr>
                <w:lang w:val="sl-SI"/>
              </w:rPr>
            </w:pPr>
            <w:r w:rsidRPr="00FC7A12">
              <w:rPr>
                <w:lang w:val="sl-SI"/>
              </w:rPr>
              <w:t>1</w:t>
            </w:r>
          </w:p>
          <w:p w:rsidR="009E459C" w:rsidRPr="00FC7A12" w:rsidRDefault="009E459C" w:rsidP="00101B95">
            <w:pPr>
              <w:jc w:val="center"/>
              <w:rPr>
                <w:lang w:val="sl-SI"/>
              </w:rPr>
            </w:pPr>
            <w:r w:rsidRPr="00FC7A12">
              <w:rPr>
                <w:lang w:val="sl-SI"/>
              </w:rPr>
              <w:t>0</w:t>
            </w:r>
          </w:p>
        </w:tc>
        <w:tc>
          <w:tcPr>
            <w:tcW w:w="502" w:type="dxa"/>
            <w:vAlign w:val="center"/>
          </w:tcPr>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1</w:t>
            </w:r>
          </w:p>
          <w:p w:rsidR="009E459C" w:rsidRPr="00FC7A12" w:rsidRDefault="009E459C" w:rsidP="00101B95">
            <w:pPr>
              <w:jc w:val="center"/>
              <w:rPr>
                <w:lang w:val="sl-SI"/>
              </w:rPr>
            </w:pPr>
            <w:r w:rsidRPr="00FC7A12">
              <w:rPr>
                <w:lang w:val="sl-SI"/>
              </w:rPr>
              <w:t>6</w:t>
            </w:r>
          </w:p>
          <w:p w:rsidR="009E459C" w:rsidRPr="00FC7A12" w:rsidRDefault="009E459C" w:rsidP="00101B95">
            <w:pPr>
              <w:jc w:val="center"/>
              <w:rPr>
                <w:lang w:val="sl-SI"/>
              </w:rPr>
            </w:pPr>
            <w:r w:rsidRPr="00FC7A12">
              <w:rPr>
                <w:lang w:val="sl-SI"/>
              </w:rPr>
              <w:t>1</w:t>
            </w:r>
          </w:p>
        </w:tc>
        <w:tc>
          <w:tcPr>
            <w:tcW w:w="535" w:type="dxa"/>
            <w:vAlign w:val="center"/>
          </w:tcPr>
          <w:p w:rsidR="009E459C" w:rsidRPr="00FC7A12" w:rsidRDefault="009E459C" w:rsidP="00101B95">
            <w:pPr>
              <w:jc w:val="center"/>
              <w:rPr>
                <w:lang w:val="sl-SI"/>
              </w:rPr>
            </w:pPr>
            <w:r w:rsidRPr="00FC7A12">
              <w:rPr>
                <w:lang w:val="sl-SI"/>
              </w:rPr>
              <w:t>1</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7</w:t>
            </w:r>
          </w:p>
          <w:p w:rsidR="009E459C" w:rsidRPr="00FC7A12" w:rsidRDefault="009E459C" w:rsidP="00101B95">
            <w:pPr>
              <w:jc w:val="center"/>
              <w:rPr>
                <w:lang w:val="sl-SI"/>
              </w:rPr>
            </w:pPr>
            <w:r w:rsidRPr="00FC7A12">
              <w:rPr>
                <w:lang w:val="sl-SI"/>
              </w:rPr>
              <w:t>1</w:t>
            </w:r>
          </w:p>
        </w:tc>
      </w:tr>
      <w:tr w:rsidR="009E459C" w:rsidRPr="00FC7A12" w:rsidTr="00101B95">
        <w:trPr>
          <w:trHeight w:val="301"/>
        </w:trPr>
        <w:tc>
          <w:tcPr>
            <w:tcW w:w="590" w:type="dxa"/>
            <w:vAlign w:val="center"/>
          </w:tcPr>
          <w:p w:rsidR="009E459C" w:rsidRPr="00FC7A12" w:rsidRDefault="009E459C" w:rsidP="00101B95">
            <w:pPr>
              <w:jc w:val="center"/>
              <w:rPr>
                <w:b/>
                <w:lang w:val="sl-SI"/>
              </w:rPr>
            </w:pPr>
            <w:r w:rsidRPr="00FC7A12">
              <w:rPr>
                <w:b/>
                <w:lang w:val="sl-SI"/>
              </w:rPr>
              <w:t>2</w:t>
            </w:r>
          </w:p>
        </w:tc>
        <w:tc>
          <w:tcPr>
            <w:tcW w:w="2279" w:type="dxa"/>
            <w:vAlign w:val="center"/>
          </w:tcPr>
          <w:p w:rsidR="009E459C" w:rsidRPr="00FC7A12" w:rsidRDefault="009E459C" w:rsidP="00101B95">
            <w:pPr>
              <w:rPr>
                <w:b/>
                <w:lang w:val="sl-SI"/>
              </w:rPr>
            </w:pPr>
            <w:r w:rsidRPr="00FC7A12">
              <w:rPr>
                <w:b/>
                <w:lang w:val="sl-SI"/>
              </w:rPr>
              <w:t>Industrijski objekti</w:t>
            </w:r>
          </w:p>
        </w:tc>
        <w:tc>
          <w:tcPr>
            <w:tcW w:w="525" w:type="dxa"/>
            <w:shd w:val="clear" w:color="auto" w:fill="F3F3F3"/>
            <w:vAlign w:val="center"/>
          </w:tcPr>
          <w:p w:rsidR="009E459C" w:rsidRPr="00FC7A12" w:rsidRDefault="009E459C" w:rsidP="00101B95">
            <w:pPr>
              <w:jc w:val="center"/>
              <w:rPr>
                <w:b/>
                <w:lang w:val="sl-SI"/>
              </w:rPr>
            </w:pPr>
            <w:r w:rsidRPr="00FC7A12">
              <w:rPr>
                <w:b/>
                <w:lang w:val="sl-SI"/>
              </w:rPr>
              <w:t>0</w:t>
            </w:r>
          </w:p>
        </w:tc>
        <w:tc>
          <w:tcPr>
            <w:tcW w:w="556" w:type="dxa"/>
            <w:shd w:val="clear" w:color="auto" w:fill="F3F3F3"/>
            <w:vAlign w:val="center"/>
          </w:tcPr>
          <w:p w:rsidR="009E459C" w:rsidRPr="00FC7A12" w:rsidRDefault="009E459C" w:rsidP="00101B95">
            <w:pPr>
              <w:jc w:val="center"/>
              <w:rPr>
                <w:b/>
                <w:lang w:val="sl-SI"/>
              </w:rPr>
            </w:pPr>
            <w:r w:rsidRPr="00FC7A12">
              <w:rPr>
                <w:b/>
                <w:lang w:val="sl-SI"/>
              </w:rPr>
              <w:t>0</w:t>
            </w:r>
          </w:p>
        </w:tc>
        <w:tc>
          <w:tcPr>
            <w:tcW w:w="594" w:type="dxa"/>
            <w:shd w:val="clear" w:color="auto" w:fill="F3F3F3"/>
            <w:vAlign w:val="center"/>
          </w:tcPr>
          <w:p w:rsidR="009E459C" w:rsidRPr="00FC7A12" w:rsidRDefault="009E459C" w:rsidP="00101B95">
            <w:pPr>
              <w:jc w:val="center"/>
              <w:rPr>
                <w:b/>
                <w:lang w:val="sl-SI"/>
              </w:rPr>
            </w:pPr>
            <w:r w:rsidRPr="00FC7A12">
              <w:rPr>
                <w:b/>
                <w:lang w:val="sl-SI"/>
              </w:rPr>
              <w:t>0</w:t>
            </w:r>
          </w:p>
        </w:tc>
        <w:tc>
          <w:tcPr>
            <w:tcW w:w="540" w:type="dxa"/>
            <w:shd w:val="clear" w:color="auto" w:fill="F3F3F3"/>
            <w:vAlign w:val="center"/>
          </w:tcPr>
          <w:p w:rsidR="009E459C" w:rsidRPr="00FC7A12" w:rsidRDefault="009E459C" w:rsidP="00101B95">
            <w:pPr>
              <w:jc w:val="center"/>
              <w:rPr>
                <w:b/>
                <w:lang w:val="sl-SI"/>
              </w:rPr>
            </w:pPr>
            <w:r w:rsidRPr="00FC7A12">
              <w:rPr>
                <w:b/>
                <w:lang w:val="sl-SI"/>
              </w:rPr>
              <w:t>0</w:t>
            </w:r>
          </w:p>
        </w:tc>
        <w:tc>
          <w:tcPr>
            <w:tcW w:w="537" w:type="dxa"/>
            <w:shd w:val="clear" w:color="auto" w:fill="F3F3F3"/>
            <w:vAlign w:val="center"/>
          </w:tcPr>
          <w:p w:rsidR="009E459C" w:rsidRPr="00FC7A12" w:rsidRDefault="009E459C" w:rsidP="00101B95">
            <w:pPr>
              <w:jc w:val="center"/>
              <w:rPr>
                <w:b/>
                <w:lang w:val="sl-SI"/>
              </w:rPr>
            </w:pPr>
            <w:r w:rsidRPr="00FC7A12">
              <w:rPr>
                <w:b/>
                <w:lang w:val="sl-SI"/>
              </w:rPr>
              <w:t>1</w:t>
            </w:r>
          </w:p>
        </w:tc>
        <w:tc>
          <w:tcPr>
            <w:tcW w:w="549" w:type="dxa"/>
            <w:shd w:val="clear" w:color="auto" w:fill="F3F3F3"/>
            <w:vAlign w:val="center"/>
          </w:tcPr>
          <w:p w:rsidR="009E459C" w:rsidRPr="00FC7A12" w:rsidRDefault="009E459C" w:rsidP="00101B95">
            <w:pPr>
              <w:jc w:val="center"/>
              <w:rPr>
                <w:b/>
                <w:lang w:val="sl-SI"/>
              </w:rPr>
            </w:pPr>
            <w:r w:rsidRPr="00FC7A12">
              <w:rPr>
                <w:b/>
                <w:lang w:val="sl-SI"/>
              </w:rPr>
              <w:t>0</w:t>
            </w:r>
          </w:p>
        </w:tc>
        <w:tc>
          <w:tcPr>
            <w:tcW w:w="637" w:type="dxa"/>
            <w:shd w:val="clear" w:color="auto" w:fill="F3F3F3"/>
            <w:vAlign w:val="center"/>
          </w:tcPr>
          <w:p w:rsidR="009E459C" w:rsidRPr="00FC7A12" w:rsidRDefault="009E459C" w:rsidP="00101B95">
            <w:pPr>
              <w:jc w:val="center"/>
              <w:rPr>
                <w:b/>
                <w:lang w:val="sl-SI"/>
              </w:rPr>
            </w:pPr>
            <w:r w:rsidRPr="00FC7A12">
              <w:rPr>
                <w:b/>
                <w:lang w:val="sl-SI"/>
              </w:rPr>
              <w:t>1</w:t>
            </w:r>
          </w:p>
        </w:tc>
        <w:tc>
          <w:tcPr>
            <w:tcW w:w="624" w:type="dxa"/>
            <w:shd w:val="clear" w:color="auto" w:fill="F3F3F3"/>
            <w:vAlign w:val="center"/>
          </w:tcPr>
          <w:p w:rsidR="009E459C" w:rsidRPr="00FC7A12" w:rsidRDefault="009E459C" w:rsidP="00101B95">
            <w:pPr>
              <w:jc w:val="center"/>
              <w:rPr>
                <w:b/>
                <w:lang w:val="sl-SI"/>
              </w:rPr>
            </w:pPr>
            <w:r w:rsidRPr="00FC7A12">
              <w:rPr>
                <w:b/>
                <w:lang w:val="sl-SI"/>
              </w:rPr>
              <w:t>0</w:t>
            </w:r>
          </w:p>
        </w:tc>
        <w:tc>
          <w:tcPr>
            <w:tcW w:w="640" w:type="dxa"/>
            <w:shd w:val="clear" w:color="auto" w:fill="F3F3F3"/>
            <w:vAlign w:val="center"/>
          </w:tcPr>
          <w:p w:rsidR="009E459C" w:rsidRPr="00FC7A12" w:rsidRDefault="009E459C" w:rsidP="00101B95">
            <w:pPr>
              <w:jc w:val="center"/>
              <w:rPr>
                <w:b/>
                <w:lang w:val="sl-SI"/>
              </w:rPr>
            </w:pPr>
            <w:r w:rsidRPr="00FC7A12">
              <w:rPr>
                <w:b/>
                <w:lang w:val="sl-SI"/>
              </w:rPr>
              <w:t>0</w:t>
            </w:r>
          </w:p>
        </w:tc>
        <w:tc>
          <w:tcPr>
            <w:tcW w:w="562" w:type="dxa"/>
            <w:shd w:val="clear" w:color="auto" w:fill="F3F3F3"/>
            <w:vAlign w:val="center"/>
          </w:tcPr>
          <w:p w:rsidR="009E459C" w:rsidRPr="00FC7A12" w:rsidRDefault="009E459C" w:rsidP="00101B95">
            <w:pPr>
              <w:jc w:val="center"/>
              <w:rPr>
                <w:b/>
                <w:lang w:val="sl-SI"/>
              </w:rPr>
            </w:pPr>
            <w:r w:rsidRPr="00FC7A12">
              <w:rPr>
                <w:b/>
                <w:lang w:val="sl-SI"/>
              </w:rPr>
              <w:t>0</w:t>
            </w:r>
          </w:p>
        </w:tc>
        <w:tc>
          <w:tcPr>
            <w:tcW w:w="502" w:type="dxa"/>
            <w:shd w:val="clear" w:color="auto" w:fill="F3F3F3"/>
            <w:vAlign w:val="center"/>
          </w:tcPr>
          <w:p w:rsidR="009E459C" w:rsidRPr="00FC7A12" w:rsidRDefault="009E459C" w:rsidP="00101B95">
            <w:pPr>
              <w:jc w:val="center"/>
              <w:rPr>
                <w:b/>
                <w:lang w:val="sl-SI"/>
              </w:rPr>
            </w:pPr>
            <w:r w:rsidRPr="00FC7A12">
              <w:rPr>
                <w:b/>
                <w:lang w:val="sl-SI"/>
              </w:rPr>
              <w:t>0</w:t>
            </w:r>
          </w:p>
        </w:tc>
        <w:tc>
          <w:tcPr>
            <w:tcW w:w="535" w:type="dxa"/>
            <w:shd w:val="clear" w:color="auto" w:fill="F3F3F3"/>
            <w:vAlign w:val="center"/>
          </w:tcPr>
          <w:p w:rsidR="009E459C" w:rsidRPr="00FC7A12" w:rsidRDefault="009E459C" w:rsidP="00101B95">
            <w:pPr>
              <w:jc w:val="center"/>
              <w:rPr>
                <w:b/>
                <w:lang w:val="sl-SI"/>
              </w:rPr>
            </w:pPr>
            <w:r w:rsidRPr="00FC7A12">
              <w:rPr>
                <w:b/>
                <w:lang w:val="sl-SI"/>
              </w:rPr>
              <w:t>0</w:t>
            </w:r>
          </w:p>
        </w:tc>
      </w:tr>
      <w:tr w:rsidR="009E459C" w:rsidRPr="00FC7A12" w:rsidTr="00101B95">
        <w:trPr>
          <w:trHeight w:val="301"/>
        </w:trPr>
        <w:tc>
          <w:tcPr>
            <w:tcW w:w="590" w:type="dxa"/>
            <w:vAlign w:val="center"/>
          </w:tcPr>
          <w:p w:rsidR="009E459C" w:rsidRPr="00FC7A12" w:rsidRDefault="009E459C" w:rsidP="00101B95">
            <w:pPr>
              <w:jc w:val="center"/>
              <w:rPr>
                <w:b/>
                <w:lang w:val="sl-SI"/>
              </w:rPr>
            </w:pPr>
            <w:r w:rsidRPr="00FC7A12">
              <w:rPr>
                <w:b/>
                <w:lang w:val="sl-SI"/>
              </w:rPr>
              <w:t>3</w:t>
            </w:r>
          </w:p>
        </w:tc>
        <w:tc>
          <w:tcPr>
            <w:tcW w:w="2279" w:type="dxa"/>
            <w:vAlign w:val="center"/>
          </w:tcPr>
          <w:p w:rsidR="009E459C" w:rsidRPr="00FC7A12" w:rsidRDefault="009E459C" w:rsidP="00101B95">
            <w:pPr>
              <w:rPr>
                <w:b/>
                <w:lang w:val="sl-SI"/>
              </w:rPr>
            </w:pPr>
            <w:r w:rsidRPr="00FC7A12">
              <w:rPr>
                <w:b/>
                <w:lang w:val="sl-SI"/>
              </w:rPr>
              <w:t>Javni objekti</w:t>
            </w:r>
          </w:p>
        </w:tc>
        <w:tc>
          <w:tcPr>
            <w:tcW w:w="525" w:type="dxa"/>
            <w:shd w:val="clear" w:color="auto" w:fill="F3F3F3"/>
            <w:vAlign w:val="center"/>
          </w:tcPr>
          <w:p w:rsidR="009E459C" w:rsidRPr="00FC7A12" w:rsidRDefault="009E459C" w:rsidP="00101B95">
            <w:pPr>
              <w:jc w:val="center"/>
              <w:rPr>
                <w:b/>
                <w:lang w:val="sl-SI"/>
              </w:rPr>
            </w:pPr>
            <w:r w:rsidRPr="00FC7A12">
              <w:rPr>
                <w:b/>
                <w:lang w:val="sl-SI"/>
              </w:rPr>
              <w:t>0</w:t>
            </w:r>
          </w:p>
        </w:tc>
        <w:tc>
          <w:tcPr>
            <w:tcW w:w="556" w:type="dxa"/>
            <w:shd w:val="clear" w:color="auto" w:fill="F3F3F3"/>
            <w:vAlign w:val="center"/>
          </w:tcPr>
          <w:p w:rsidR="009E459C" w:rsidRPr="00FC7A12" w:rsidRDefault="009E459C" w:rsidP="00101B95">
            <w:pPr>
              <w:jc w:val="center"/>
              <w:rPr>
                <w:b/>
                <w:lang w:val="sl-SI"/>
              </w:rPr>
            </w:pPr>
            <w:r w:rsidRPr="00FC7A12">
              <w:rPr>
                <w:b/>
                <w:lang w:val="sl-SI"/>
              </w:rPr>
              <w:t>0</w:t>
            </w:r>
          </w:p>
        </w:tc>
        <w:tc>
          <w:tcPr>
            <w:tcW w:w="594" w:type="dxa"/>
            <w:shd w:val="clear" w:color="auto" w:fill="F3F3F3"/>
            <w:vAlign w:val="center"/>
          </w:tcPr>
          <w:p w:rsidR="009E459C" w:rsidRPr="00FC7A12" w:rsidRDefault="009E459C" w:rsidP="00101B95">
            <w:pPr>
              <w:jc w:val="center"/>
              <w:rPr>
                <w:b/>
                <w:lang w:val="sl-SI"/>
              </w:rPr>
            </w:pPr>
            <w:r w:rsidRPr="00FC7A12">
              <w:rPr>
                <w:b/>
                <w:lang w:val="sl-SI"/>
              </w:rPr>
              <w:t>0</w:t>
            </w:r>
          </w:p>
        </w:tc>
        <w:tc>
          <w:tcPr>
            <w:tcW w:w="540" w:type="dxa"/>
            <w:shd w:val="clear" w:color="auto" w:fill="F3F3F3"/>
            <w:vAlign w:val="center"/>
          </w:tcPr>
          <w:p w:rsidR="009E459C" w:rsidRPr="00FC7A12" w:rsidRDefault="009E459C" w:rsidP="00101B95">
            <w:pPr>
              <w:jc w:val="center"/>
              <w:rPr>
                <w:b/>
                <w:lang w:val="sl-SI"/>
              </w:rPr>
            </w:pPr>
            <w:r w:rsidRPr="00FC7A12">
              <w:rPr>
                <w:b/>
                <w:lang w:val="sl-SI"/>
              </w:rPr>
              <w:t>0</w:t>
            </w:r>
          </w:p>
        </w:tc>
        <w:tc>
          <w:tcPr>
            <w:tcW w:w="537" w:type="dxa"/>
            <w:shd w:val="clear" w:color="auto" w:fill="F3F3F3"/>
            <w:vAlign w:val="center"/>
          </w:tcPr>
          <w:p w:rsidR="009E459C" w:rsidRPr="00FC7A12" w:rsidRDefault="009E459C" w:rsidP="00101B95">
            <w:pPr>
              <w:jc w:val="center"/>
              <w:rPr>
                <w:b/>
                <w:lang w:val="sl-SI"/>
              </w:rPr>
            </w:pPr>
            <w:r w:rsidRPr="00FC7A12">
              <w:rPr>
                <w:b/>
                <w:lang w:val="sl-SI"/>
              </w:rPr>
              <w:t>0</w:t>
            </w:r>
          </w:p>
        </w:tc>
        <w:tc>
          <w:tcPr>
            <w:tcW w:w="549" w:type="dxa"/>
            <w:shd w:val="clear" w:color="auto" w:fill="F3F3F3"/>
            <w:vAlign w:val="center"/>
          </w:tcPr>
          <w:p w:rsidR="009E459C" w:rsidRPr="00FC7A12" w:rsidRDefault="009E459C" w:rsidP="00101B95">
            <w:pPr>
              <w:jc w:val="center"/>
              <w:rPr>
                <w:b/>
                <w:lang w:val="sl-SI"/>
              </w:rPr>
            </w:pPr>
            <w:r w:rsidRPr="00FC7A12">
              <w:rPr>
                <w:b/>
                <w:lang w:val="sl-SI"/>
              </w:rPr>
              <w:t>0</w:t>
            </w:r>
          </w:p>
        </w:tc>
        <w:tc>
          <w:tcPr>
            <w:tcW w:w="637" w:type="dxa"/>
            <w:shd w:val="clear" w:color="auto" w:fill="F3F3F3"/>
            <w:vAlign w:val="center"/>
          </w:tcPr>
          <w:p w:rsidR="009E459C" w:rsidRPr="00FC7A12" w:rsidRDefault="009E459C" w:rsidP="00101B95">
            <w:pPr>
              <w:jc w:val="center"/>
              <w:rPr>
                <w:b/>
                <w:lang w:val="sl-SI"/>
              </w:rPr>
            </w:pPr>
            <w:r w:rsidRPr="00FC7A12">
              <w:rPr>
                <w:b/>
                <w:lang w:val="sl-SI"/>
              </w:rPr>
              <w:t>0</w:t>
            </w:r>
          </w:p>
        </w:tc>
        <w:tc>
          <w:tcPr>
            <w:tcW w:w="624" w:type="dxa"/>
            <w:shd w:val="clear" w:color="auto" w:fill="F3F3F3"/>
            <w:vAlign w:val="center"/>
          </w:tcPr>
          <w:p w:rsidR="009E459C" w:rsidRPr="00FC7A12" w:rsidRDefault="009E459C" w:rsidP="00101B95">
            <w:pPr>
              <w:jc w:val="center"/>
              <w:rPr>
                <w:b/>
                <w:lang w:val="sl-SI"/>
              </w:rPr>
            </w:pPr>
            <w:r w:rsidRPr="00FC7A12">
              <w:rPr>
                <w:b/>
                <w:lang w:val="sl-SI"/>
              </w:rPr>
              <w:t>0</w:t>
            </w:r>
          </w:p>
        </w:tc>
        <w:tc>
          <w:tcPr>
            <w:tcW w:w="640" w:type="dxa"/>
            <w:shd w:val="clear" w:color="auto" w:fill="F3F3F3"/>
            <w:vAlign w:val="center"/>
          </w:tcPr>
          <w:p w:rsidR="009E459C" w:rsidRPr="00FC7A12" w:rsidRDefault="009E459C" w:rsidP="00101B95">
            <w:pPr>
              <w:jc w:val="center"/>
              <w:rPr>
                <w:b/>
                <w:lang w:val="sl-SI"/>
              </w:rPr>
            </w:pPr>
            <w:r w:rsidRPr="00FC7A12">
              <w:rPr>
                <w:b/>
                <w:lang w:val="sl-SI"/>
              </w:rPr>
              <w:t>0</w:t>
            </w:r>
          </w:p>
        </w:tc>
        <w:tc>
          <w:tcPr>
            <w:tcW w:w="562" w:type="dxa"/>
            <w:shd w:val="clear" w:color="auto" w:fill="F3F3F3"/>
            <w:vAlign w:val="center"/>
          </w:tcPr>
          <w:p w:rsidR="009E459C" w:rsidRPr="00FC7A12" w:rsidRDefault="009E459C" w:rsidP="00101B95">
            <w:pPr>
              <w:jc w:val="center"/>
              <w:rPr>
                <w:b/>
                <w:lang w:val="sl-SI"/>
              </w:rPr>
            </w:pPr>
            <w:r w:rsidRPr="00FC7A12">
              <w:rPr>
                <w:b/>
                <w:lang w:val="sl-SI"/>
              </w:rPr>
              <w:t>0</w:t>
            </w:r>
          </w:p>
        </w:tc>
        <w:tc>
          <w:tcPr>
            <w:tcW w:w="502" w:type="dxa"/>
            <w:shd w:val="clear" w:color="auto" w:fill="F3F3F3"/>
            <w:vAlign w:val="center"/>
          </w:tcPr>
          <w:p w:rsidR="009E459C" w:rsidRPr="00FC7A12" w:rsidRDefault="009E459C" w:rsidP="00101B95">
            <w:pPr>
              <w:jc w:val="center"/>
              <w:rPr>
                <w:b/>
                <w:lang w:val="sl-SI"/>
              </w:rPr>
            </w:pPr>
            <w:r w:rsidRPr="00FC7A12">
              <w:rPr>
                <w:b/>
                <w:lang w:val="sl-SI"/>
              </w:rPr>
              <w:t>0</w:t>
            </w:r>
          </w:p>
        </w:tc>
        <w:tc>
          <w:tcPr>
            <w:tcW w:w="535" w:type="dxa"/>
            <w:shd w:val="clear" w:color="auto" w:fill="F3F3F3"/>
            <w:vAlign w:val="center"/>
          </w:tcPr>
          <w:p w:rsidR="009E459C" w:rsidRPr="00FC7A12" w:rsidRDefault="009E459C" w:rsidP="00101B95">
            <w:pPr>
              <w:jc w:val="center"/>
              <w:rPr>
                <w:b/>
                <w:lang w:val="sl-SI"/>
              </w:rPr>
            </w:pPr>
            <w:r w:rsidRPr="00FC7A12">
              <w:rPr>
                <w:b/>
                <w:lang w:val="sl-SI"/>
              </w:rPr>
              <w:t>0</w:t>
            </w:r>
          </w:p>
        </w:tc>
      </w:tr>
      <w:tr w:rsidR="009E459C" w:rsidRPr="00FC7A12" w:rsidTr="00101B95">
        <w:trPr>
          <w:trHeight w:val="301"/>
        </w:trPr>
        <w:tc>
          <w:tcPr>
            <w:tcW w:w="590" w:type="dxa"/>
            <w:vAlign w:val="center"/>
          </w:tcPr>
          <w:p w:rsidR="009E459C" w:rsidRPr="00FC7A12" w:rsidRDefault="009E459C" w:rsidP="00101B95">
            <w:pPr>
              <w:jc w:val="center"/>
              <w:rPr>
                <w:b/>
                <w:lang w:val="sl-SI"/>
              </w:rPr>
            </w:pPr>
            <w:r w:rsidRPr="00FC7A12">
              <w:rPr>
                <w:b/>
                <w:lang w:val="sl-SI"/>
              </w:rPr>
              <w:t>4</w:t>
            </w:r>
          </w:p>
        </w:tc>
        <w:tc>
          <w:tcPr>
            <w:tcW w:w="2279" w:type="dxa"/>
            <w:vAlign w:val="center"/>
          </w:tcPr>
          <w:p w:rsidR="009E459C" w:rsidRPr="00FC7A12" w:rsidRDefault="009E459C" w:rsidP="00101B95">
            <w:pPr>
              <w:rPr>
                <w:b/>
                <w:lang w:val="sl-SI"/>
              </w:rPr>
            </w:pPr>
            <w:r w:rsidRPr="00FC7A12">
              <w:rPr>
                <w:b/>
                <w:lang w:val="sl-SI"/>
              </w:rPr>
              <w:t>Poslovni objekti</w:t>
            </w:r>
          </w:p>
        </w:tc>
        <w:tc>
          <w:tcPr>
            <w:tcW w:w="525" w:type="dxa"/>
            <w:shd w:val="clear" w:color="auto" w:fill="F3F3F3"/>
            <w:vAlign w:val="center"/>
          </w:tcPr>
          <w:p w:rsidR="009E459C" w:rsidRPr="00FC7A12" w:rsidRDefault="009E459C" w:rsidP="00101B95">
            <w:pPr>
              <w:jc w:val="center"/>
              <w:rPr>
                <w:b/>
                <w:lang w:val="sl-SI"/>
              </w:rPr>
            </w:pPr>
            <w:r w:rsidRPr="00FC7A12">
              <w:rPr>
                <w:b/>
                <w:lang w:val="sl-SI"/>
              </w:rPr>
              <w:t>0</w:t>
            </w:r>
          </w:p>
        </w:tc>
        <w:tc>
          <w:tcPr>
            <w:tcW w:w="556" w:type="dxa"/>
            <w:shd w:val="clear" w:color="auto" w:fill="F3F3F3"/>
            <w:vAlign w:val="center"/>
          </w:tcPr>
          <w:p w:rsidR="009E459C" w:rsidRPr="00FC7A12" w:rsidRDefault="009E459C" w:rsidP="00101B95">
            <w:pPr>
              <w:jc w:val="center"/>
              <w:rPr>
                <w:b/>
                <w:lang w:val="sl-SI"/>
              </w:rPr>
            </w:pPr>
            <w:r w:rsidRPr="00FC7A12">
              <w:rPr>
                <w:b/>
                <w:lang w:val="sl-SI"/>
              </w:rPr>
              <w:t>1</w:t>
            </w:r>
          </w:p>
        </w:tc>
        <w:tc>
          <w:tcPr>
            <w:tcW w:w="594" w:type="dxa"/>
            <w:shd w:val="clear" w:color="auto" w:fill="F3F3F3"/>
            <w:vAlign w:val="center"/>
          </w:tcPr>
          <w:p w:rsidR="009E459C" w:rsidRPr="00FC7A12" w:rsidRDefault="009E459C" w:rsidP="00101B95">
            <w:pPr>
              <w:jc w:val="center"/>
              <w:rPr>
                <w:b/>
                <w:lang w:val="sl-SI"/>
              </w:rPr>
            </w:pPr>
            <w:r w:rsidRPr="00FC7A12">
              <w:rPr>
                <w:b/>
                <w:lang w:val="sl-SI"/>
              </w:rPr>
              <w:t>0</w:t>
            </w:r>
          </w:p>
        </w:tc>
        <w:tc>
          <w:tcPr>
            <w:tcW w:w="540" w:type="dxa"/>
            <w:shd w:val="clear" w:color="auto" w:fill="F3F3F3"/>
            <w:vAlign w:val="center"/>
          </w:tcPr>
          <w:p w:rsidR="009E459C" w:rsidRPr="00FC7A12" w:rsidRDefault="009E459C" w:rsidP="00101B95">
            <w:pPr>
              <w:jc w:val="center"/>
              <w:rPr>
                <w:b/>
                <w:lang w:val="sl-SI"/>
              </w:rPr>
            </w:pPr>
            <w:r w:rsidRPr="00FC7A12">
              <w:rPr>
                <w:b/>
                <w:lang w:val="sl-SI"/>
              </w:rPr>
              <w:t>0</w:t>
            </w:r>
          </w:p>
        </w:tc>
        <w:tc>
          <w:tcPr>
            <w:tcW w:w="537" w:type="dxa"/>
            <w:shd w:val="clear" w:color="auto" w:fill="F3F3F3"/>
            <w:vAlign w:val="center"/>
          </w:tcPr>
          <w:p w:rsidR="009E459C" w:rsidRPr="00FC7A12" w:rsidRDefault="009E459C" w:rsidP="00101B95">
            <w:pPr>
              <w:jc w:val="center"/>
              <w:rPr>
                <w:b/>
                <w:lang w:val="sl-SI"/>
              </w:rPr>
            </w:pPr>
            <w:r w:rsidRPr="00FC7A12">
              <w:rPr>
                <w:b/>
                <w:lang w:val="sl-SI"/>
              </w:rPr>
              <w:t>0</w:t>
            </w:r>
          </w:p>
        </w:tc>
        <w:tc>
          <w:tcPr>
            <w:tcW w:w="549" w:type="dxa"/>
            <w:shd w:val="clear" w:color="auto" w:fill="F3F3F3"/>
            <w:vAlign w:val="center"/>
          </w:tcPr>
          <w:p w:rsidR="009E459C" w:rsidRPr="00FC7A12" w:rsidRDefault="009E459C" w:rsidP="00101B95">
            <w:pPr>
              <w:jc w:val="center"/>
              <w:rPr>
                <w:b/>
                <w:lang w:val="sl-SI"/>
              </w:rPr>
            </w:pPr>
            <w:r w:rsidRPr="00FC7A12">
              <w:rPr>
                <w:b/>
                <w:lang w:val="sl-SI"/>
              </w:rPr>
              <w:t>1</w:t>
            </w:r>
          </w:p>
        </w:tc>
        <w:tc>
          <w:tcPr>
            <w:tcW w:w="637" w:type="dxa"/>
            <w:shd w:val="clear" w:color="auto" w:fill="F3F3F3"/>
            <w:vAlign w:val="center"/>
          </w:tcPr>
          <w:p w:rsidR="009E459C" w:rsidRPr="00FC7A12" w:rsidRDefault="009E459C" w:rsidP="00101B95">
            <w:pPr>
              <w:jc w:val="center"/>
              <w:rPr>
                <w:b/>
                <w:lang w:val="sl-SI"/>
              </w:rPr>
            </w:pPr>
            <w:r w:rsidRPr="00FC7A12">
              <w:rPr>
                <w:b/>
                <w:lang w:val="sl-SI"/>
              </w:rPr>
              <w:t>0</w:t>
            </w:r>
          </w:p>
        </w:tc>
        <w:tc>
          <w:tcPr>
            <w:tcW w:w="624" w:type="dxa"/>
            <w:shd w:val="clear" w:color="auto" w:fill="F3F3F3"/>
            <w:vAlign w:val="center"/>
          </w:tcPr>
          <w:p w:rsidR="009E459C" w:rsidRPr="00FC7A12" w:rsidRDefault="009E459C" w:rsidP="00101B95">
            <w:pPr>
              <w:jc w:val="center"/>
              <w:rPr>
                <w:b/>
                <w:lang w:val="sl-SI"/>
              </w:rPr>
            </w:pPr>
            <w:r w:rsidRPr="00FC7A12">
              <w:rPr>
                <w:b/>
                <w:lang w:val="sl-SI"/>
              </w:rPr>
              <w:t>2</w:t>
            </w:r>
          </w:p>
        </w:tc>
        <w:tc>
          <w:tcPr>
            <w:tcW w:w="640" w:type="dxa"/>
            <w:shd w:val="clear" w:color="auto" w:fill="F3F3F3"/>
            <w:vAlign w:val="center"/>
          </w:tcPr>
          <w:p w:rsidR="009E459C" w:rsidRPr="00FC7A12" w:rsidRDefault="009E459C" w:rsidP="00101B95">
            <w:pPr>
              <w:jc w:val="center"/>
              <w:rPr>
                <w:b/>
                <w:lang w:val="sl-SI"/>
              </w:rPr>
            </w:pPr>
            <w:r w:rsidRPr="00FC7A12">
              <w:rPr>
                <w:b/>
                <w:lang w:val="sl-SI"/>
              </w:rPr>
              <w:t>0</w:t>
            </w:r>
          </w:p>
        </w:tc>
        <w:tc>
          <w:tcPr>
            <w:tcW w:w="562" w:type="dxa"/>
            <w:shd w:val="clear" w:color="auto" w:fill="F3F3F3"/>
            <w:vAlign w:val="center"/>
          </w:tcPr>
          <w:p w:rsidR="009E459C" w:rsidRPr="00FC7A12" w:rsidRDefault="009E459C" w:rsidP="00101B95">
            <w:pPr>
              <w:jc w:val="center"/>
              <w:rPr>
                <w:b/>
                <w:lang w:val="sl-SI"/>
              </w:rPr>
            </w:pPr>
            <w:r w:rsidRPr="00FC7A12">
              <w:rPr>
                <w:b/>
                <w:lang w:val="sl-SI"/>
              </w:rPr>
              <w:t>0</w:t>
            </w:r>
          </w:p>
        </w:tc>
        <w:tc>
          <w:tcPr>
            <w:tcW w:w="502" w:type="dxa"/>
            <w:shd w:val="clear" w:color="auto" w:fill="F3F3F3"/>
            <w:vAlign w:val="center"/>
          </w:tcPr>
          <w:p w:rsidR="009E459C" w:rsidRPr="00FC7A12" w:rsidRDefault="009E459C" w:rsidP="00101B95">
            <w:pPr>
              <w:jc w:val="center"/>
              <w:rPr>
                <w:b/>
                <w:lang w:val="sl-SI"/>
              </w:rPr>
            </w:pPr>
            <w:r w:rsidRPr="00FC7A12">
              <w:rPr>
                <w:b/>
                <w:lang w:val="sl-SI"/>
              </w:rPr>
              <w:t>0</w:t>
            </w:r>
          </w:p>
        </w:tc>
        <w:tc>
          <w:tcPr>
            <w:tcW w:w="535" w:type="dxa"/>
            <w:shd w:val="clear" w:color="auto" w:fill="F3F3F3"/>
            <w:vAlign w:val="center"/>
          </w:tcPr>
          <w:p w:rsidR="009E459C" w:rsidRPr="00FC7A12" w:rsidRDefault="009E459C" w:rsidP="00101B95">
            <w:pPr>
              <w:jc w:val="center"/>
              <w:rPr>
                <w:b/>
                <w:lang w:val="sl-SI"/>
              </w:rPr>
            </w:pPr>
            <w:r w:rsidRPr="00FC7A12">
              <w:rPr>
                <w:b/>
                <w:lang w:val="sl-SI"/>
              </w:rPr>
              <w:t>1</w:t>
            </w:r>
          </w:p>
        </w:tc>
      </w:tr>
      <w:tr w:rsidR="009E459C" w:rsidRPr="00FC7A12" w:rsidTr="00101B95">
        <w:trPr>
          <w:trHeight w:val="301"/>
        </w:trPr>
        <w:tc>
          <w:tcPr>
            <w:tcW w:w="590" w:type="dxa"/>
            <w:vAlign w:val="center"/>
          </w:tcPr>
          <w:p w:rsidR="009E459C" w:rsidRPr="00FC7A12" w:rsidRDefault="009E459C" w:rsidP="00101B95">
            <w:pPr>
              <w:jc w:val="center"/>
              <w:rPr>
                <w:b/>
                <w:lang w:val="sl-SI"/>
              </w:rPr>
            </w:pPr>
            <w:r w:rsidRPr="00FC7A12">
              <w:rPr>
                <w:b/>
                <w:lang w:val="sl-SI"/>
              </w:rPr>
              <w:t>5</w:t>
            </w:r>
          </w:p>
        </w:tc>
        <w:tc>
          <w:tcPr>
            <w:tcW w:w="2279" w:type="dxa"/>
            <w:vAlign w:val="center"/>
          </w:tcPr>
          <w:p w:rsidR="009E459C" w:rsidRPr="00FC7A12" w:rsidRDefault="009E459C" w:rsidP="00101B95">
            <w:pPr>
              <w:rPr>
                <w:b/>
                <w:lang w:val="sl-SI"/>
              </w:rPr>
            </w:pPr>
            <w:r w:rsidRPr="00FC7A12">
              <w:rPr>
                <w:b/>
                <w:lang w:val="sl-SI"/>
              </w:rPr>
              <w:t>Pomoćni objekti</w:t>
            </w:r>
          </w:p>
        </w:tc>
        <w:tc>
          <w:tcPr>
            <w:tcW w:w="525" w:type="dxa"/>
            <w:shd w:val="clear" w:color="auto" w:fill="F3F3F3"/>
            <w:vAlign w:val="center"/>
          </w:tcPr>
          <w:p w:rsidR="009E459C" w:rsidRPr="00FC7A12" w:rsidRDefault="009E459C" w:rsidP="00101B95">
            <w:pPr>
              <w:jc w:val="center"/>
              <w:rPr>
                <w:b/>
                <w:lang w:val="sl-SI"/>
              </w:rPr>
            </w:pPr>
            <w:r w:rsidRPr="00FC7A12">
              <w:rPr>
                <w:b/>
                <w:lang w:val="sl-SI"/>
              </w:rPr>
              <w:t>0</w:t>
            </w:r>
          </w:p>
        </w:tc>
        <w:tc>
          <w:tcPr>
            <w:tcW w:w="556" w:type="dxa"/>
            <w:shd w:val="clear" w:color="auto" w:fill="F3F3F3"/>
            <w:vAlign w:val="center"/>
          </w:tcPr>
          <w:p w:rsidR="009E459C" w:rsidRPr="00FC7A12" w:rsidRDefault="009E459C" w:rsidP="00101B95">
            <w:pPr>
              <w:jc w:val="center"/>
              <w:rPr>
                <w:b/>
                <w:lang w:val="sl-SI"/>
              </w:rPr>
            </w:pPr>
            <w:r w:rsidRPr="00FC7A12">
              <w:rPr>
                <w:b/>
                <w:lang w:val="sl-SI"/>
              </w:rPr>
              <w:t>3</w:t>
            </w:r>
          </w:p>
        </w:tc>
        <w:tc>
          <w:tcPr>
            <w:tcW w:w="594" w:type="dxa"/>
            <w:shd w:val="clear" w:color="auto" w:fill="F3F3F3"/>
            <w:vAlign w:val="center"/>
          </w:tcPr>
          <w:p w:rsidR="009E459C" w:rsidRPr="00FC7A12" w:rsidRDefault="009E459C" w:rsidP="00101B95">
            <w:pPr>
              <w:jc w:val="center"/>
              <w:rPr>
                <w:b/>
                <w:lang w:val="sl-SI"/>
              </w:rPr>
            </w:pPr>
            <w:r w:rsidRPr="00FC7A12">
              <w:rPr>
                <w:b/>
                <w:lang w:val="sl-SI"/>
              </w:rPr>
              <w:t>2</w:t>
            </w:r>
          </w:p>
        </w:tc>
        <w:tc>
          <w:tcPr>
            <w:tcW w:w="540" w:type="dxa"/>
            <w:shd w:val="clear" w:color="auto" w:fill="F3F3F3"/>
            <w:vAlign w:val="center"/>
          </w:tcPr>
          <w:p w:rsidR="009E459C" w:rsidRPr="00FC7A12" w:rsidRDefault="009E459C" w:rsidP="00101B95">
            <w:pPr>
              <w:jc w:val="center"/>
              <w:rPr>
                <w:b/>
                <w:lang w:val="sl-SI"/>
              </w:rPr>
            </w:pPr>
            <w:r w:rsidRPr="00FC7A12">
              <w:rPr>
                <w:b/>
                <w:lang w:val="sl-SI"/>
              </w:rPr>
              <w:t>2</w:t>
            </w:r>
          </w:p>
        </w:tc>
        <w:tc>
          <w:tcPr>
            <w:tcW w:w="537" w:type="dxa"/>
            <w:shd w:val="clear" w:color="auto" w:fill="F3F3F3"/>
            <w:vAlign w:val="center"/>
          </w:tcPr>
          <w:p w:rsidR="009E459C" w:rsidRPr="00FC7A12" w:rsidRDefault="009E459C" w:rsidP="00101B95">
            <w:pPr>
              <w:jc w:val="center"/>
              <w:rPr>
                <w:b/>
                <w:lang w:val="sl-SI"/>
              </w:rPr>
            </w:pPr>
            <w:r w:rsidRPr="00FC7A12">
              <w:rPr>
                <w:b/>
                <w:lang w:val="sl-SI"/>
              </w:rPr>
              <w:t>0</w:t>
            </w:r>
          </w:p>
        </w:tc>
        <w:tc>
          <w:tcPr>
            <w:tcW w:w="549" w:type="dxa"/>
            <w:shd w:val="clear" w:color="auto" w:fill="F3F3F3"/>
            <w:vAlign w:val="center"/>
          </w:tcPr>
          <w:p w:rsidR="009E459C" w:rsidRPr="00FC7A12" w:rsidRDefault="009E459C" w:rsidP="00101B95">
            <w:pPr>
              <w:jc w:val="center"/>
              <w:rPr>
                <w:b/>
                <w:lang w:val="sl-SI"/>
              </w:rPr>
            </w:pPr>
            <w:r w:rsidRPr="00FC7A12">
              <w:rPr>
                <w:b/>
                <w:lang w:val="sl-SI"/>
              </w:rPr>
              <w:t>0</w:t>
            </w:r>
          </w:p>
        </w:tc>
        <w:tc>
          <w:tcPr>
            <w:tcW w:w="637" w:type="dxa"/>
            <w:shd w:val="clear" w:color="auto" w:fill="F3F3F3"/>
            <w:vAlign w:val="center"/>
          </w:tcPr>
          <w:p w:rsidR="009E459C" w:rsidRPr="00FC7A12" w:rsidRDefault="009E459C" w:rsidP="00101B95">
            <w:pPr>
              <w:jc w:val="center"/>
              <w:rPr>
                <w:b/>
                <w:lang w:val="sl-SI"/>
              </w:rPr>
            </w:pPr>
            <w:r w:rsidRPr="00FC7A12">
              <w:rPr>
                <w:b/>
                <w:lang w:val="sl-SI"/>
              </w:rPr>
              <w:t>2</w:t>
            </w:r>
          </w:p>
        </w:tc>
        <w:tc>
          <w:tcPr>
            <w:tcW w:w="624" w:type="dxa"/>
            <w:shd w:val="clear" w:color="auto" w:fill="F3F3F3"/>
            <w:vAlign w:val="center"/>
          </w:tcPr>
          <w:p w:rsidR="009E459C" w:rsidRPr="00FC7A12" w:rsidRDefault="009E459C" w:rsidP="00101B95">
            <w:pPr>
              <w:jc w:val="center"/>
              <w:rPr>
                <w:b/>
                <w:lang w:val="sl-SI"/>
              </w:rPr>
            </w:pPr>
            <w:r w:rsidRPr="00FC7A12">
              <w:rPr>
                <w:b/>
                <w:lang w:val="sl-SI"/>
              </w:rPr>
              <w:t>1</w:t>
            </w:r>
          </w:p>
        </w:tc>
        <w:tc>
          <w:tcPr>
            <w:tcW w:w="640" w:type="dxa"/>
            <w:shd w:val="clear" w:color="auto" w:fill="F3F3F3"/>
            <w:vAlign w:val="center"/>
          </w:tcPr>
          <w:p w:rsidR="009E459C" w:rsidRPr="00FC7A12" w:rsidRDefault="009E459C" w:rsidP="00101B95">
            <w:pPr>
              <w:jc w:val="center"/>
              <w:rPr>
                <w:b/>
                <w:lang w:val="sl-SI"/>
              </w:rPr>
            </w:pPr>
            <w:r w:rsidRPr="00FC7A12">
              <w:rPr>
                <w:b/>
                <w:lang w:val="sl-SI"/>
              </w:rPr>
              <w:t>4</w:t>
            </w:r>
          </w:p>
        </w:tc>
        <w:tc>
          <w:tcPr>
            <w:tcW w:w="562" w:type="dxa"/>
            <w:shd w:val="clear" w:color="auto" w:fill="F3F3F3"/>
            <w:vAlign w:val="center"/>
          </w:tcPr>
          <w:p w:rsidR="009E459C" w:rsidRPr="00FC7A12" w:rsidRDefault="009E459C" w:rsidP="00101B95">
            <w:pPr>
              <w:jc w:val="center"/>
              <w:rPr>
                <w:b/>
                <w:lang w:val="sl-SI"/>
              </w:rPr>
            </w:pPr>
            <w:r w:rsidRPr="00FC7A12">
              <w:rPr>
                <w:b/>
                <w:lang w:val="sl-SI"/>
              </w:rPr>
              <w:t>2</w:t>
            </w:r>
          </w:p>
        </w:tc>
        <w:tc>
          <w:tcPr>
            <w:tcW w:w="502" w:type="dxa"/>
            <w:shd w:val="clear" w:color="auto" w:fill="F3F3F3"/>
            <w:vAlign w:val="center"/>
          </w:tcPr>
          <w:p w:rsidR="009E459C" w:rsidRPr="00FC7A12" w:rsidRDefault="009E459C" w:rsidP="00101B95">
            <w:pPr>
              <w:jc w:val="center"/>
              <w:rPr>
                <w:b/>
                <w:lang w:val="sl-SI"/>
              </w:rPr>
            </w:pPr>
            <w:r w:rsidRPr="00FC7A12">
              <w:rPr>
                <w:b/>
                <w:lang w:val="sl-SI"/>
              </w:rPr>
              <w:t>0</w:t>
            </w:r>
          </w:p>
        </w:tc>
        <w:tc>
          <w:tcPr>
            <w:tcW w:w="535" w:type="dxa"/>
            <w:shd w:val="clear" w:color="auto" w:fill="F3F3F3"/>
            <w:vAlign w:val="center"/>
          </w:tcPr>
          <w:p w:rsidR="009E459C" w:rsidRPr="00FC7A12" w:rsidRDefault="009E459C" w:rsidP="00101B95">
            <w:pPr>
              <w:jc w:val="center"/>
              <w:rPr>
                <w:b/>
                <w:lang w:val="sl-SI"/>
              </w:rPr>
            </w:pPr>
            <w:r w:rsidRPr="00FC7A12">
              <w:rPr>
                <w:b/>
                <w:lang w:val="sl-SI"/>
              </w:rPr>
              <w:t>0</w:t>
            </w:r>
          </w:p>
        </w:tc>
      </w:tr>
      <w:tr w:rsidR="009E459C" w:rsidRPr="00FC7A12" w:rsidTr="00101B95">
        <w:trPr>
          <w:trHeight w:val="301"/>
        </w:trPr>
        <w:tc>
          <w:tcPr>
            <w:tcW w:w="590" w:type="dxa"/>
            <w:vAlign w:val="center"/>
          </w:tcPr>
          <w:p w:rsidR="009E459C" w:rsidRPr="00FC7A12" w:rsidRDefault="009E459C" w:rsidP="00101B95">
            <w:pPr>
              <w:jc w:val="center"/>
              <w:rPr>
                <w:b/>
                <w:lang w:val="sl-SI"/>
              </w:rPr>
            </w:pPr>
            <w:r w:rsidRPr="00FC7A12">
              <w:rPr>
                <w:b/>
                <w:lang w:val="sl-SI"/>
              </w:rPr>
              <w:t>6</w:t>
            </w:r>
          </w:p>
        </w:tc>
        <w:tc>
          <w:tcPr>
            <w:tcW w:w="2279" w:type="dxa"/>
            <w:vAlign w:val="center"/>
          </w:tcPr>
          <w:p w:rsidR="009E459C" w:rsidRPr="00FC7A12" w:rsidRDefault="009E459C" w:rsidP="00101B95">
            <w:pPr>
              <w:rPr>
                <w:b/>
                <w:lang w:val="sl-SI"/>
              </w:rPr>
            </w:pPr>
            <w:r w:rsidRPr="00FC7A12">
              <w:rPr>
                <w:b/>
                <w:lang w:val="sl-SI"/>
              </w:rPr>
              <w:t>Prevozna sredstva</w:t>
            </w:r>
          </w:p>
        </w:tc>
        <w:tc>
          <w:tcPr>
            <w:tcW w:w="525" w:type="dxa"/>
            <w:shd w:val="clear" w:color="auto" w:fill="F3F3F3"/>
            <w:vAlign w:val="center"/>
          </w:tcPr>
          <w:p w:rsidR="009E459C" w:rsidRPr="00FC7A12" w:rsidRDefault="009E459C" w:rsidP="00101B95">
            <w:pPr>
              <w:jc w:val="center"/>
              <w:rPr>
                <w:b/>
                <w:lang w:val="sl-SI"/>
              </w:rPr>
            </w:pPr>
            <w:r w:rsidRPr="00FC7A12">
              <w:rPr>
                <w:b/>
                <w:lang w:val="sl-SI"/>
              </w:rPr>
              <w:t>1</w:t>
            </w:r>
          </w:p>
        </w:tc>
        <w:tc>
          <w:tcPr>
            <w:tcW w:w="556" w:type="dxa"/>
            <w:shd w:val="clear" w:color="auto" w:fill="F3F3F3"/>
            <w:vAlign w:val="center"/>
          </w:tcPr>
          <w:p w:rsidR="009E459C" w:rsidRPr="00FC7A12" w:rsidRDefault="009E459C" w:rsidP="00101B95">
            <w:pPr>
              <w:jc w:val="center"/>
              <w:rPr>
                <w:b/>
                <w:lang w:val="sl-SI"/>
              </w:rPr>
            </w:pPr>
            <w:r w:rsidRPr="00FC7A12">
              <w:rPr>
                <w:b/>
                <w:lang w:val="sl-SI"/>
              </w:rPr>
              <w:t>2</w:t>
            </w:r>
          </w:p>
        </w:tc>
        <w:tc>
          <w:tcPr>
            <w:tcW w:w="594" w:type="dxa"/>
            <w:shd w:val="clear" w:color="auto" w:fill="F3F3F3"/>
            <w:vAlign w:val="center"/>
          </w:tcPr>
          <w:p w:rsidR="009E459C" w:rsidRPr="00FC7A12" w:rsidRDefault="009E459C" w:rsidP="00101B95">
            <w:pPr>
              <w:jc w:val="center"/>
              <w:rPr>
                <w:b/>
                <w:lang w:val="sl-SI"/>
              </w:rPr>
            </w:pPr>
            <w:r w:rsidRPr="00FC7A12">
              <w:rPr>
                <w:b/>
                <w:lang w:val="sl-SI"/>
              </w:rPr>
              <w:t>3</w:t>
            </w:r>
          </w:p>
        </w:tc>
        <w:tc>
          <w:tcPr>
            <w:tcW w:w="540" w:type="dxa"/>
            <w:shd w:val="clear" w:color="auto" w:fill="F3F3F3"/>
            <w:vAlign w:val="center"/>
          </w:tcPr>
          <w:p w:rsidR="009E459C" w:rsidRPr="00FC7A12" w:rsidRDefault="009E459C" w:rsidP="00101B95">
            <w:pPr>
              <w:jc w:val="center"/>
              <w:rPr>
                <w:b/>
                <w:lang w:val="sl-SI"/>
              </w:rPr>
            </w:pPr>
            <w:r w:rsidRPr="00FC7A12">
              <w:rPr>
                <w:b/>
                <w:lang w:val="sl-SI"/>
              </w:rPr>
              <w:t>1</w:t>
            </w:r>
          </w:p>
        </w:tc>
        <w:tc>
          <w:tcPr>
            <w:tcW w:w="537" w:type="dxa"/>
            <w:shd w:val="clear" w:color="auto" w:fill="F3F3F3"/>
            <w:vAlign w:val="center"/>
          </w:tcPr>
          <w:p w:rsidR="009E459C" w:rsidRPr="00FC7A12" w:rsidRDefault="009E459C" w:rsidP="00101B95">
            <w:pPr>
              <w:jc w:val="center"/>
              <w:rPr>
                <w:b/>
                <w:lang w:val="sl-SI"/>
              </w:rPr>
            </w:pPr>
            <w:r w:rsidRPr="00FC7A12">
              <w:rPr>
                <w:b/>
                <w:lang w:val="sl-SI"/>
              </w:rPr>
              <w:t>2</w:t>
            </w:r>
          </w:p>
        </w:tc>
        <w:tc>
          <w:tcPr>
            <w:tcW w:w="549" w:type="dxa"/>
            <w:shd w:val="clear" w:color="auto" w:fill="F3F3F3"/>
            <w:vAlign w:val="center"/>
          </w:tcPr>
          <w:p w:rsidR="009E459C" w:rsidRPr="00FC7A12" w:rsidRDefault="009E459C" w:rsidP="00101B95">
            <w:pPr>
              <w:jc w:val="center"/>
              <w:rPr>
                <w:b/>
                <w:lang w:val="sl-SI"/>
              </w:rPr>
            </w:pPr>
            <w:r w:rsidRPr="00FC7A12">
              <w:rPr>
                <w:b/>
                <w:lang w:val="sl-SI"/>
              </w:rPr>
              <w:t>1</w:t>
            </w:r>
          </w:p>
        </w:tc>
        <w:tc>
          <w:tcPr>
            <w:tcW w:w="637" w:type="dxa"/>
            <w:shd w:val="clear" w:color="auto" w:fill="F3F3F3"/>
            <w:vAlign w:val="center"/>
          </w:tcPr>
          <w:p w:rsidR="009E459C" w:rsidRPr="00FC7A12" w:rsidRDefault="009E459C" w:rsidP="00101B95">
            <w:pPr>
              <w:jc w:val="center"/>
              <w:rPr>
                <w:b/>
                <w:lang w:val="sl-SI"/>
              </w:rPr>
            </w:pPr>
            <w:r w:rsidRPr="00FC7A12">
              <w:rPr>
                <w:b/>
                <w:lang w:val="sl-SI"/>
              </w:rPr>
              <w:t>2</w:t>
            </w:r>
          </w:p>
        </w:tc>
        <w:tc>
          <w:tcPr>
            <w:tcW w:w="624" w:type="dxa"/>
            <w:shd w:val="clear" w:color="auto" w:fill="F3F3F3"/>
            <w:vAlign w:val="center"/>
          </w:tcPr>
          <w:p w:rsidR="009E459C" w:rsidRPr="00FC7A12" w:rsidRDefault="009E459C" w:rsidP="00101B95">
            <w:pPr>
              <w:jc w:val="center"/>
              <w:rPr>
                <w:b/>
                <w:lang w:val="sl-SI"/>
              </w:rPr>
            </w:pPr>
            <w:r w:rsidRPr="00FC7A12">
              <w:rPr>
                <w:b/>
                <w:lang w:val="sl-SI"/>
              </w:rPr>
              <w:t>2</w:t>
            </w:r>
          </w:p>
        </w:tc>
        <w:tc>
          <w:tcPr>
            <w:tcW w:w="640" w:type="dxa"/>
            <w:shd w:val="clear" w:color="auto" w:fill="F3F3F3"/>
            <w:vAlign w:val="center"/>
          </w:tcPr>
          <w:p w:rsidR="009E459C" w:rsidRPr="00FC7A12" w:rsidRDefault="009E459C" w:rsidP="00101B95">
            <w:pPr>
              <w:jc w:val="center"/>
              <w:rPr>
                <w:b/>
                <w:lang w:val="sl-SI"/>
              </w:rPr>
            </w:pPr>
            <w:r w:rsidRPr="00FC7A12">
              <w:rPr>
                <w:b/>
                <w:lang w:val="sl-SI"/>
              </w:rPr>
              <w:t>0</w:t>
            </w:r>
          </w:p>
        </w:tc>
        <w:tc>
          <w:tcPr>
            <w:tcW w:w="562" w:type="dxa"/>
            <w:shd w:val="clear" w:color="auto" w:fill="F3F3F3"/>
            <w:vAlign w:val="center"/>
          </w:tcPr>
          <w:p w:rsidR="009E459C" w:rsidRPr="00FC7A12" w:rsidRDefault="009E459C" w:rsidP="00101B95">
            <w:pPr>
              <w:jc w:val="center"/>
              <w:rPr>
                <w:b/>
                <w:lang w:val="sl-SI"/>
              </w:rPr>
            </w:pPr>
            <w:r w:rsidRPr="00FC7A12">
              <w:rPr>
                <w:b/>
                <w:lang w:val="sl-SI"/>
              </w:rPr>
              <w:t>0</w:t>
            </w:r>
          </w:p>
        </w:tc>
        <w:tc>
          <w:tcPr>
            <w:tcW w:w="502" w:type="dxa"/>
            <w:shd w:val="clear" w:color="auto" w:fill="F3F3F3"/>
            <w:vAlign w:val="center"/>
          </w:tcPr>
          <w:p w:rsidR="009E459C" w:rsidRPr="00FC7A12" w:rsidRDefault="009E459C" w:rsidP="00101B95">
            <w:pPr>
              <w:jc w:val="center"/>
              <w:rPr>
                <w:b/>
                <w:lang w:val="sl-SI"/>
              </w:rPr>
            </w:pPr>
            <w:r w:rsidRPr="00FC7A12">
              <w:rPr>
                <w:b/>
                <w:lang w:val="sl-SI"/>
              </w:rPr>
              <w:t>1</w:t>
            </w:r>
          </w:p>
        </w:tc>
        <w:tc>
          <w:tcPr>
            <w:tcW w:w="535" w:type="dxa"/>
            <w:shd w:val="clear" w:color="auto" w:fill="F3F3F3"/>
            <w:vAlign w:val="center"/>
          </w:tcPr>
          <w:p w:rsidR="009E459C" w:rsidRPr="00FC7A12" w:rsidRDefault="009E459C" w:rsidP="00101B95">
            <w:pPr>
              <w:jc w:val="center"/>
              <w:rPr>
                <w:b/>
                <w:lang w:val="sl-SI"/>
              </w:rPr>
            </w:pPr>
            <w:r w:rsidRPr="00FC7A12">
              <w:rPr>
                <w:b/>
                <w:lang w:val="sl-SI"/>
              </w:rPr>
              <w:t>2</w:t>
            </w:r>
          </w:p>
        </w:tc>
      </w:tr>
      <w:tr w:rsidR="009E459C" w:rsidRPr="00FC7A12" w:rsidTr="00101B95">
        <w:trPr>
          <w:trHeight w:val="301"/>
        </w:trPr>
        <w:tc>
          <w:tcPr>
            <w:tcW w:w="590" w:type="dxa"/>
            <w:vMerge w:val="restart"/>
            <w:vAlign w:val="center"/>
          </w:tcPr>
          <w:p w:rsidR="009E459C" w:rsidRPr="00FC7A12" w:rsidRDefault="009E459C" w:rsidP="00101B95">
            <w:pPr>
              <w:jc w:val="center"/>
              <w:rPr>
                <w:b/>
                <w:lang w:val="sl-SI"/>
              </w:rPr>
            </w:pPr>
          </w:p>
          <w:p w:rsidR="009E459C" w:rsidRPr="00FC7A12" w:rsidRDefault="009E459C" w:rsidP="00101B95">
            <w:pPr>
              <w:jc w:val="center"/>
              <w:rPr>
                <w:b/>
                <w:lang w:val="sl-SI"/>
              </w:rPr>
            </w:pPr>
            <w:r w:rsidRPr="00FC7A12">
              <w:rPr>
                <w:b/>
                <w:lang w:val="sl-SI"/>
              </w:rPr>
              <w:t>7</w:t>
            </w:r>
          </w:p>
        </w:tc>
        <w:tc>
          <w:tcPr>
            <w:tcW w:w="2279" w:type="dxa"/>
            <w:vMerge w:val="restart"/>
          </w:tcPr>
          <w:p w:rsidR="009E459C" w:rsidRPr="00FC7A12" w:rsidRDefault="009E459C" w:rsidP="00101B95">
            <w:pPr>
              <w:rPr>
                <w:b/>
                <w:lang w:val="sl-SI"/>
              </w:rPr>
            </w:pPr>
          </w:p>
          <w:p w:rsidR="009E459C" w:rsidRPr="00FC7A12" w:rsidRDefault="009E459C" w:rsidP="00101B95">
            <w:pPr>
              <w:rPr>
                <w:b/>
                <w:lang w:val="sl-SI"/>
              </w:rPr>
            </w:pPr>
            <w:r w:rsidRPr="00FC7A12">
              <w:rPr>
                <w:b/>
                <w:lang w:val="sl-SI"/>
              </w:rPr>
              <w:t>Tehničke intervencije</w:t>
            </w:r>
          </w:p>
          <w:p w:rsidR="009E459C" w:rsidRPr="00FC7A12" w:rsidRDefault="009E459C" w:rsidP="00101B95">
            <w:pPr>
              <w:rPr>
                <w:b/>
                <w:lang w:val="sl-SI"/>
              </w:rPr>
            </w:pPr>
          </w:p>
          <w:p w:rsidR="009E459C" w:rsidRPr="00FC7A12" w:rsidRDefault="009E459C" w:rsidP="00101B95">
            <w:pPr>
              <w:rPr>
                <w:b/>
                <w:lang w:val="sl-SI"/>
              </w:rPr>
            </w:pPr>
          </w:p>
          <w:p w:rsidR="009E459C" w:rsidRPr="00FC7A12" w:rsidRDefault="009E459C" w:rsidP="00570B2F">
            <w:pPr>
              <w:numPr>
                <w:ilvl w:val="0"/>
                <w:numId w:val="11"/>
              </w:numPr>
              <w:tabs>
                <w:tab w:val="clear" w:pos="720"/>
              </w:tabs>
              <w:ind w:left="275" w:hanging="275"/>
              <w:rPr>
                <w:lang w:val="sl-SI"/>
              </w:rPr>
            </w:pPr>
            <w:r w:rsidRPr="00FC7A12">
              <w:rPr>
                <w:lang w:val="sl-SI"/>
              </w:rPr>
              <w:t>asanacija terena</w:t>
            </w:r>
          </w:p>
          <w:p w:rsidR="009E459C" w:rsidRPr="00FC7A12" w:rsidRDefault="009E459C" w:rsidP="00570B2F">
            <w:pPr>
              <w:numPr>
                <w:ilvl w:val="0"/>
                <w:numId w:val="11"/>
              </w:numPr>
              <w:tabs>
                <w:tab w:val="clear" w:pos="720"/>
              </w:tabs>
              <w:ind w:left="275" w:hanging="275"/>
              <w:rPr>
                <w:lang w:val="sl-SI"/>
              </w:rPr>
            </w:pPr>
            <w:r w:rsidRPr="00FC7A12">
              <w:rPr>
                <w:lang w:val="sl-SI"/>
              </w:rPr>
              <w:t>otvaranje stana</w:t>
            </w:r>
          </w:p>
          <w:p w:rsidR="009E459C" w:rsidRPr="00FC7A12" w:rsidRDefault="009E459C" w:rsidP="00570B2F">
            <w:pPr>
              <w:numPr>
                <w:ilvl w:val="0"/>
                <w:numId w:val="11"/>
              </w:numPr>
              <w:tabs>
                <w:tab w:val="clear" w:pos="720"/>
              </w:tabs>
              <w:ind w:left="275" w:hanging="275"/>
              <w:rPr>
                <w:lang w:val="sl-SI"/>
              </w:rPr>
            </w:pPr>
            <w:r w:rsidRPr="00FC7A12">
              <w:rPr>
                <w:lang w:val="sl-SI"/>
              </w:rPr>
              <w:t>poplava</w:t>
            </w:r>
          </w:p>
          <w:p w:rsidR="009E459C" w:rsidRPr="00FC7A12" w:rsidRDefault="009E459C" w:rsidP="00570B2F">
            <w:pPr>
              <w:numPr>
                <w:ilvl w:val="0"/>
                <w:numId w:val="11"/>
              </w:numPr>
              <w:tabs>
                <w:tab w:val="clear" w:pos="720"/>
              </w:tabs>
              <w:ind w:left="275" w:hanging="275"/>
              <w:rPr>
                <w:lang w:val="sl-SI"/>
              </w:rPr>
            </w:pPr>
            <w:r w:rsidRPr="00FC7A12">
              <w:rPr>
                <w:lang w:val="sl-SI"/>
              </w:rPr>
              <w:t>vađenje utopljenika</w:t>
            </w:r>
          </w:p>
          <w:p w:rsidR="009E459C" w:rsidRPr="00FC7A12" w:rsidRDefault="009E459C" w:rsidP="00570B2F">
            <w:pPr>
              <w:numPr>
                <w:ilvl w:val="0"/>
                <w:numId w:val="11"/>
              </w:numPr>
              <w:tabs>
                <w:tab w:val="clear" w:pos="720"/>
              </w:tabs>
              <w:ind w:left="275" w:hanging="275"/>
              <w:rPr>
                <w:lang w:val="sl-SI"/>
              </w:rPr>
            </w:pPr>
            <w:r w:rsidRPr="00FC7A12">
              <w:rPr>
                <w:lang w:val="sl-SI"/>
              </w:rPr>
              <w:t>iz. strad. iz hav. voz</w:t>
            </w:r>
          </w:p>
          <w:p w:rsidR="009E459C" w:rsidRPr="00FC7A12" w:rsidRDefault="009E459C" w:rsidP="00570B2F">
            <w:pPr>
              <w:numPr>
                <w:ilvl w:val="0"/>
                <w:numId w:val="11"/>
              </w:numPr>
              <w:tabs>
                <w:tab w:val="clear" w:pos="720"/>
              </w:tabs>
              <w:ind w:left="275" w:hanging="275"/>
              <w:rPr>
                <w:lang w:val="sl-SI"/>
              </w:rPr>
            </w:pPr>
            <w:r w:rsidRPr="00FC7A12">
              <w:rPr>
                <w:lang w:val="sl-SI"/>
              </w:rPr>
              <w:t>transport bolesnika</w:t>
            </w:r>
          </w:p>
          <w:p w:rsidR="009E459C" w:rsidRPr="00FC7A12" w:rsidRDefault="009E459C" w:rsidP="00570B2F">
            <w:pPr>
              <w:numPr>
                <w:ilvl w:val="0"/>
                <w:numId w:val="11"/>
              </w:numPr>
              <w:tabs>
                <w:tab w:val="clear" w:pos="720"/>
              </w:tabs>
              <w:ind w:left="275" w:hanging="275"/>
              <w:rPr>
                <w:lang w:val="sl-SI"/>
              </w:rPr>
            </w:pPr>
            <w:r w:rsidRPr="00FC7A12">
              <w:rPr>
                <w:lang w:val="sl-SI"/>
              </w:rPr>
              <w:t>izv. vozila iz snijeg</w:t>
            </w:r>
          </w:p>
          <w:p w:rsidR="009E459C" w:rsidRPr="00FC7A12" w:rsidRDefault="009E459C" w:rsidP="00570B2F">
            <w:pPr>
              <w:numPr>
                <w:ilvl w:val="0"/>
                <w:numId w:val="11"/>
              </w:numPr>
              <w:tabs>
                <w:tab w:val="clear" w:pos="720"/>
              </w:tabs>
              <w:ind w:left="275" w:hanging="275"/>
              <w:rPr>
                <w:lang w:val="sl-SI"/>
              </w:rPr>
            </w:pPr>
            <w:r w:rsidRPr="00FC7A12">
              <w:rPr>
                <w:lang w:val="sl-SI"/>
              </w:rPr>
              <w:t>ukl. snijega s krova</w:t>
            </w:r>
          </w:p>
          <w:p w:rsidR="009E459C" w:rsidRPr="00FC7A12" w:rsidRDefault="009E459C" w:rsidP="00570B2F">
            <w:pPr>
              <w:numPr>
                <w:ilvl w:val="0"/>
                <w:numId w:val="11"/>
              </w:numPr>
              <w:tabs>
                <w:tab w:val="clear" w:pos="720"/>
              </w:tabs>
              <w:ind w:left="275" w:hanging="275"/>
              <w:rPr>
                <w:lang w:val="sl-SI"/>
              </w:rPr>
            </w:pPr>
            <w:r w:rsidRPr="00FC7A12">
              <w:rPr>
                <w:lang w:val="sl-SI"/>
              </w:rPr>
              <w:t>spašavanje</w:t>
            </w:r>
          </w:p>
          <w:p w:rsidR="009E459C" w:rsidRPr="00FC7A12" w:rsidRDefault="009E459C" w:rsidP="00570B2F">
            <w:pPr>
              <w:numPr>
                <w:ilvl w:val="0"/>
                <w:numId w:val="11"/>
              </w:numPr>
              <w:tabs>
                <w:tab w:val="clear" w:pos="720"/>
              </w:tabs>
              <w:ind w:left="275" w:hanging="275"/>
              <w:rPr>
                <w:lang w:val="sl-SI"/>
              </w:rPr>
            </w:pPr>
            <w:r w:rsidRPr="00FC7A12">
              <w:rPr>
                <w:lang w:val="sl-SI"/>
              </w:rPr>
              <w:t xml:space="preserve">ostale intervencije </w:t>
            </w:r>
          </w:p>
        </w:tc>
        <w:tc>
          <w:tcPr>
            <w:tcW w:w="525" w:type="dxa"/>
            <w:shd w:val="clear" w:color="auto" w:fill="F3F3F3"/>
            <w:vAlign w:val="center"/>
          </w:tcPr>
          <w:p w:rsidR="009E459C" w:rsidRPr="00FC7A12" w:rsidRDefault="009E459C" w:rsidP="00101B95">
            <w:pPr>
              <w:jc w:val="center"/>
              <w:rPr>
                <w:b/>
                <w:lang w:val="sl-SI"/>
              </w:rPr>
            </w:pPr>
            <w:r w:rsidRPr="00FC7A12">
              <w:rPr>
                <w:b/>
                <w:lang w:val="sl-SI"/>
              </w:rPr>
              <w:t>19</w:t>
            </w:r>
          </w:p>
        </w:tc>
        <w:tc>
          <w:tcPr>
            <w:tcW w:w="556" w:type="dxa"/>
            <w:shd w:val="clear" w:color="auto" w:fill="F3F3F3"/>
            <w:vAlign w:val="center"/>
          </w:tcPr>
          <w:p w:rsidR="009E459C" w:rsidRPr="00FC7A12" w:rsidRDefault="009E459C" w:rsidP="00101B95">
            <w:pPr>
              <w:jc w:val="center"/>
              <w:rPr>
                <w:b/>
                <w:lang w:val="sl-SI"/>
              </w:rPr>
            </w:pPr>
            <w:r w:rsidRPr="00FC7A12">
              <w:rPr>
                <w:b/>
                <w:lang w:val="sl-SI"/>
              </w:rPr>
              <w:t>19</w:t>
            </w:r>
          </w:p>
        </w:tc>
        <w:tc>
          <w:tcPr>
            <w:tcW w:w="594" w:type="dxa"/>
            <w:shd w:val="clear" w:color="auto" w:fill="F3F3F3"/>
            <w:vAlign w:val="center"/>
          </w:tcPr>
          <w:p w:rsidR="009E459C" w:rsidRPr="00FC7A12" w:rsidRDefault="009E459C" w:rsidP="00101B95">
            <w:pPr>
              <w:jc w:val="center"/>
              <w:rPr>
                <w:b/>
                <w:lang w:val="sl-SI"/>
              </w:rPr>
            </w:pPr>
            <w:r w:rsidRPr="00FC7A12">
              <w:rPr>
                <w:b/>
                <w:lang w:val="sl-SI"/>
              </w:rPr>
              <w:t>17</w:t>
            </w:r>
          </w:p>
        </w:tc>
        <w:tc>
          <w:tcPr>
            <w:tcW w:w="540" w:type="dxa"/>
            <w:shd w:val="clear" w:color="auto" w:fill="F3F3F3"/>
            <w:vAlign w:val="center"/>
          </w:tcPr>
          <w:p w:rsidR="009E459C" w:rsidRPr="00FC7A12" w:rsidRDefault="009E459C" w:rsidP="00101B95">
            <w:pPr>
              <w:jc w:val="center"/>
              <w:rPr>
                <w:b/>
                <w:lang w:val="sl-SI"/>
              </w:rPr>
            </w:pPr>
            <w:r w:rsidRPr="00FC7A12">
              <w:rPr>
                <w:b/>
                <w:lang w:val="sl-SI"/>
              </w:rPr>
              <w:t>14</w:t>
            </w:r>
          </w:p>
        </w:tc>
        <w:tc>
          <w:tcPr>
            <w:tcW w:w="537" w:type="dxa"/>
            <w:shd w:val="clear" w:color="auto" w:fill="F3F3F3"/>
            <w:vAlign w:val="center"/>
          </w:tcPr>
          <w:p w:rsidR="009E459C" w:rsidRPr="00FC7A12" w:rsidRDefault="009E459C" w:rsidP="00101B95">
            <w:pPr>
              <w:jc w:val="center"/>
              <w:rPr>
                <w:b/>
                <w:lang w:val="sl-SI"/>
              </w:rPr>
            </w:pPr>
            <w:r w:rsidRPr="00FC7A12">
              <w:rPr>
                <w:b/>
                <w:lang w:val="sl-SI"/>
              </w:rPr>
              <w:t>9</w:t>
            </w:r>
          </w:p>
        </w:tc>
        <w:tc>
          <w:tcPr>
            <w:tcW w:w="549" w:type="dxa"/>
            <w:shd w:val="clear" w:color="auto" w:fill="F3F3F3"/>
            <w:vAlign w:val="center"/>
          </w:tcPr>
          <w:p w:rsidR="009E459C" w:rsidRPr="00FC7A12" w:rsidRDefault="009E459C" w:rsidP="00101B95">
            <w:pPr>
              <w:jc w:val="center"/>
              <w:rPr>
                <w:b/>
                <w:lang w:val="sl-SI"/>
              </w:rPr>
            </w:pPr>
            <w:r w:rsidRPr="00FC7A12">
              <w:rPr>
                <w:b/>
                <w:lang w:val="sl-SI"/>
              </w:rPr>
              <w:t>27</w:t>
            </w:r>
          </w:p>
        </w:tc>
        <w:tc>
          <w:tcPr>
            <w:tcW w:w="637" w:type="dxa"/>
            <w:shd w:val="clear" w:color="auto" w:fill="F3F3F3"/>
            <w:vAlign w:val="center"/>
          </w:tcPr>
          <w:p w:rsidR="009E459C" w:rsidRPr="00FC7A12" w:rsidRDefault="009E459C" w:rsidP="00101B95">
            <w:pPr>
              <w:jc w:val="center"/>
              <w:rPr>
                <w:b/>
                <w:lang w:val="sl-SI"/>
              </w:rPr>
            </w:pPr>
            <w:r w:rsidRPr="00FC7A12">
              <w:rPr>
                <w:b/>
                <w:lang w:val="sl-SI"/>
              </w:rPr>
              <w:t>29</w:t>
            </w:r>
          </w:p>
        </w:tc>
        <w:tc>
          <w:tcPr>
            <w:tcW w:w="624" w:type="dxa"/>
            <w:shd w:val="clear" w:color="auto" w:fill="F3F3F3"/>
            <w:vAlign w:val="center"/>
          </w:tcPr>
          <w:p w:rsidR="009E459C" w:rsidRPr="00FC7A12" w:rsidRDefault="009E459C" w:rsidP="00101B95">
            <w:pPr>
              <w:jc w:val="center"/>
              <w:rPr>
                <w:b/>
                <w:lang w:val="sl-SI"/>
              </w:rPr>
            </w:pPr>
            <w:r w:rsidRPr="00FC7A12">
              <w:rPr>
                <w:b/>
                <w:lang w:val="sl-SI"/>
              </w:rPr>
              <w:t>26</w:t>
            </w:r>
          </w:p>
        </w:tc>
        <w:tc>
          <w:tcPr>
            <w:tcW w:w="640" w:type="dxa"/>
            <w:shd w:val="clear" w:color="auto" w:fill="F3F3F3"/>
            <w:vAlign w:val="center"/>
          </w:tcPr>
          <w:p w:rsidR="009E459C" w:rsidRPr="00FC7A12" w:rsidRDefault="009E459C" w:rsidP="00101B95">
            <w:pPr>
              <w:jc w:val="center"/>
              <w:rPr>
                <w:b/>
                <w:lang w:val="sl-SI"/>
              </w:rPr>
            </w:pPr>
            <w:r w:rsidRPr="00FC7A12">
              <w:rPr>
                <w:b/>
                <w:lang w:val="sl-SI"/>
              </w:rPr>
              <w:t>31</w:t>
            </w:r>
          </w:p>
        </w:tc>
        <w:tc>
          <w:tcPr>
            <w:tcW w:w="562" w:type="dxa"/>
            <w:shd w:val="clear" w:color="auto" w:fill="F3F3F3"/>
            <w:vAlign w:val="center"/>
          </w:tcPr>
          <w:p w:rsidR="009E459C" w:rsidRPr="00FC7A12" w:rsidRDefault="009E459C" w:rsidP="00101B95">
            <w:pPr>
              <w:jc w:val="center"/>
              <w:rPr>
                <w:b/>
                <w:lang w:val="sl-SI"/>
              </w:rPr>
            </w:pPr>
            <w:r w:rsidRPr="00FC7A12">
              <w:rPr>
                <w:b/>
                <w:lang w:val="sl-SI"/>
              </w:rPr>
              <w:t>20</w:t>
            </w:r>
          </w:p>
        </w:tc>
        <w:tc>
          <w:tcPr>
            <w:tcW w:w="502" w:type="dxa"/>
            <w:shd w:val="clear" w:color="auto" w:fill="F3F3F3"/>
            <w:vAlign w:val="center"/>
          </w:tcPr>
          <w:p w:rsidR="009E459C" w:rsidRPr="00FC7A12" w:rsidRDefault="009E459C" w:rsidP="00101B95">
            <w:pPr>
              <w:jc w:val="center"/>
              <w:rPr>
                <w:b/>
                <w:lang w:val="sl-SI"/>
              </w:rPr>
            </w:pPr>
            <w:r w:rsidRPr="00FC7A12">
              <w:rPr>
                <w:b/>
                <w:lang w:val="sl-SI"/>
              </w:rPr>
              <w:t>15</w:t>
            </w:r>
          </w:p>
        </w:tc>
        <w:tc>
          <w:tcPr>
            <w:tcW w:w="535" w:type="dxa"/>
            <w:shd w:val="clear" w:color="auto" w:fill="F3F3F3"/>
            <w:vAlign w:val="center"/>
          </w:tcPr>
          <w:p w:rsidR="009E459C" w:rsidRPr="00FC7A12" w:rsidRDefault="009E459C" w:rsidP="00101B95">
            <w:pPr>
              <w:jc w:val="center"/>
              <w:rPr>
                <w:b/>
                <w:lang w:val="sl-SI"/>
              </w:rPr>
            </w:pPr>
            <w:r w:rsidRPr="00FC7A12">
              <w:rPr>
                <w:b/>
                <w:lang w:val="sl-SI"/>
              </w:rPr>
              <w:t>16</w:t>
            </w:r>
          </w:p>
        </w:tc>
      </w:tr>
      <w:tr w:rsidR="009E459C" w:rsidRPr="00FC7A12" w:rsidTr="00101B95">
        <w:trPr>
          <w:trHeight w:val="2706"/>
        </w:trPr>
        <w:tc>
          <w:tcPr>
            <w:tcW w:w="590" w:type="dxa"/>
            <w:vMerge/>
            <w:vAlign w:val="center"/>
          </w:tcPr>
          <w:p w:rsidR="009E459C" w:rsidRPr="00FC7A12" w:rsidRDefault="009E459C" w:rsidP="00101B95">
            <w:pPr>
              <w:jc w:val="center"/>
              <w:rPr>
                <w:b/>
                <w:lang w:val="sl-SI"/>
              </w:rPr>
            </w:pPr>
          </w:p>
        </w:tc>
        <w:tc>
          <w:tcPr>
            <w:tcW w:w="2279" w:type="dxa"/>
            <w:vMerge/>
          </w:tcPr>
          <w:p w:rsidR="009E459C" w:rsidRPr="00FC7A12" w:rsidRDefault="009E459C" w:rsidP="00570B2F">
            <w:pPr>
              <w:numPr>
                <w:ilvl w:val="0"/>
                <w:numId w:val="11"/>
              </w:numPr>
              <w:tabs>
                <w:tab w:val="clear" w:pos="720"/>
              </w:tabs>
              <w:ind w:left="275" w:hanging="275"/>
              <w:rPr>
                <w:lang w:val="sl-SI"/>
              </w:rPr>
            </w:pPr>
          </w:p>
        </w:tc>
        <w:tc>
          <w:tcPr>
            <w:tcW w:w="525" w:type="dxa"/>
            <w:vAlign w:val="center"/>
          </w:tcPr>
          <w:p w:rsidR="009E459C" w:rsidRPr="00FC7A12" w:rsidRDefault="009E459C" w:rsidP="00101B95">
            <w:pPr>
              <w:jc w:val="center"/>
              <w:rPr>
                <w:lang w:val="sl-SI"/>
              </w:rPr>
            </w:pPr>
            <w:r w:rsidRPr="00FC7A12">
              <w:rPr>
                <w:lang w:val="sl-SI"/>
              </w:rPr>
              <w:t>7</w:t>
            </w:r>
          </w:p>
          <w:p w:rsidR="009E459C" w:rsidRPr="00FC7A12" w:rsidRDefault="009E459C" w:rsidP="00101B95">
            <w:pPr>
              <w:jc w:val="center"/>
              <w:rPr>
                <w:lang w:val="sl-SI"/>
              </w:rPr>
            </w:pPr>
            <w:r w:rsidRPr="00FC7A12">
              <w:rPr>
                <w:lang w:val="sl-SI"/>
              </w:rPr>
              <w:t>2</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4</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6</w:t>
            </w:r>
          </w:p>
        </w:tc>
        <w:tc>
          <w:tcPr>
            <w:tcW w:w="556" w:type="dxa"/>
            <w:vAlign w:val="center"/>
          </w:tcPr>
          <w:p w:rsidR="009E459C" w:rsidRPr="00FC7A12" w:rsidRDefault="009E459C" w:rsidP="00101B95">
            <w:pPr>
              <w:jc w:val="center"/>
              <w:rPr>
                <w:lang w:val="sl-SI"/>
              </w:rPr>
            </w:pPr>
            <w:r w:rsidRPr="00FC7A12">
              <w:rPr>
                <w:lang w:val="sl-SI"/>
              </w:rPr>
              <w:t>4</w:t>
            </w:r>
          </w:p>
          <w:p w:rsidR="009E459C" w:rsidRPr="00FC7A12" w:rsidRDefault="009E459C" w:rsidP="00101B95">
            <w:pPr>
              <w:jc w:val="center"/>
              <w:rPr>
                <w:lang w:val="sl-SI"/>
              </w:rPr>
            </w:pPr>
            <w:r w:rsidRPr="00FC7A12">
              <w:rPr>
                <w:lang w:val="sl-SI"/>
              </w:rPr>
              <w:t>3</w:t>
            </w:r>
          </w:p>
          <w:p w:rsidR="009E459C" w:rsidRPr="00FC7A12" w:rsidRDefault="009E459C" w:rsidP="00101B95">
            <w:pPr>
              <w:jc w:val="center"/>
              <w:rPr>
                <w:lang w:val="sl-SI"/>
              </w:rPr>
            </w:pPr>
            <w:r w:rsidRPr="00FC7A12">
              <w:rPr>
                <w:lang w:val="sl-SI"/>
              </w:rPr>
              <w:t>1</w:t>
            </w:r>
          </w:p>
          <w:p w:rsidR="009E459C" w:rsidRPr="00FC7A12" w:rsidRDefault="009E459C" w:rsidP="00101B95">
            <w:pPr>
              <w:jc w:val="center"/>
              <w:rPr>
                <w:lang w:val="sl-SI"/>
              </w:rPr>
            </w:pPr>
            <w:r w:rsidRPr="00FC7A12">
              <w:rPr>
                <w:lang w:val="sl-SI"/>
              </w:rPr>
              <w:t>1</w:t>
            </w:r>
          </w:p>
          <w:p w:rsidR="009E459C" w:rsidRPr="00FC7A12" w:rsidRDefault="009E459C" w:rsidP="00101B95">
            <w:pPr>
              <w:jc w:val="center"/>
              <w:rPr>
                <w:lang w:val="sl-SI"/>
              </w:rPr>
            </w:pPr>
            <w:r w:rsidRPr="00FC7A12">
              <w:rPr>
                <w:lang w:val="sl-SI"/>
              </w:rPr>
              <w:t>1</w:t>
            </w:r>
          </w:p>
          <w:p w:rsidR="009E459C" w:rsidRPr="00FC7A12" w:rsidRDefault="009E459C" w:rsidP="00101B95">
            <w:pPr>
              <w:jc w:val="center"/>
              <w:rPr>
                <w:lang w:val="sl-SI"/>
              </w:rPr>
            </w:pPr>
            <w:r w:rsidRPr="00FC7A12">
              <w:rPr>
                <w:lang w:val="sl-SI"/>
              </w:rPr>
              <w:t>1</w:t>
            </w:r>
          </w:p>
          <w:p w:rsidR="009E459C" w:rsidRPr="00FC7A12" w:rsidRDefault="009E459C" w:rsidP="00101B95">
            <w:pPr>
              <w:jc w:val="center"/>
              <w:rPr>
                <w:lang w:val="sl-SI"/>
              </w:rPr>
            </w:pPr>
            <w:r w:rsidRPr="00FC7A12">
              <w:rPr>
                <w:lang w:val="sl-SI"/>
              </w:rPr>
              <w:t>1</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7</w:t>
            </w:r>
          </w:p>
        </w:tc>
        <w:tc>
          <w:tcPr>
            <w:tcW w:w="594" w:type="dxa"/>
            <w:vAlign w:val="center"/>
          </w:tcPr>
          <w:p w:rsidR="009E459C" w:rsidRPr="00FC7A12" w:rsidRDefault="009E459C" w:rsidP="00101B95">
            <w:pPr>
              <w:jc w:val="center"/>
              <w:rPr>
                <w:lang w:val="sl-SI"/>
              </w:rPr>
            </w:pPr>
            <w:r w:rsidRPr="00FC7A12">
              <w:rPr>
                <w:lang w:val="sl-SI"/>
              </w:rPr>
              <w:t>6</w:t>
            </w:r>
          </w:p>
          <w:p w:rsidR="009E459C" w:rsidRPr="00FC7A12" w:rsidRDefault="009E459C" w:rsidP="00101B95">
            <w:pPr>
              <w:jc w:val="center"/>
              <w:rPr>
                <w:lang w:val="sl-SI"/>
              </w:rPr>
            </w:pPr>
            <w:r w:rsidRPr="00FC7A12">
              <w:rPr>
                <w:lang w:val="sl-SI"/>
              </w:rPr>
              <w:t>2</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2</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9</w:t>
            </w:r>
          </w:p>
        </w:tc>
        <w:tc>
          <w:tcPr>
            <w:tcW w:w="540" w:type="dxa"/>
            <w:vAlign w:val="center"/>
          </w:tcPr>
          <w:p w:rsidR="009E459C" w:rsidRPr="00FC7A12" w:rsidRDefault="009E459C" w:rsidP="00101B95">
            <w:pPr>
              <w:jc w:val="center"/>
              <w:rPr>
                <w:lang w:val="sl-SI"/>
              </w:rPr>
            </w:pPr>
            <w:r w:rsidRPr="00FC7A12">
              <w:rPr>
                <w:lang w:val="sl-SI"/>
              </w:rPr>
              <w:t>4</w:t>
            </w:r>
          </w:p>
          <w:p w:rsidR="009E459C" w:rsidRPr="00FC7A12" w:rsidRDefault="009E459C" w:rsidP="00101B95">
            <w:pPr>
              <w:jc w:val="center"/>
              <w:rPr>
                <w:lang w:val="sl-SI"/>
              </w:rPr>
            </w:pPr>
            <w:r w:rsidRPr="00FC7A12">
              <w:rPr>
                <w:lang w:val="sl-SI"/>
              </w:rPr>
              <w:t>3</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7</w:t>
            </w:r>
          </w:p>
        </w:tc>
        <w:tc>
          <w:tcPr>
            <w:tcW w:w="537" w:type="dxa"/>
            <w:vAlign w:val="center"/>
          </w:tcPr>
          <w:p w:rsidR="009E459C" w:rsidRPr="00FC7A12" w:rsidRDefault="009E459C" w:rsidP="00101B95">
            <w:pPr>
              <w:jc w:val="center"/>
              <w:rPr>
                <w:lang w:val="sl-SI"/>
              </w:rPr>
            </w:pPr>
            <w:r w:rsidRPr="00FC7A12">
              <w:rPr>
                <w:lang w:val="sl-SI"/>
              </w:rPr>
              <w:t>3</w:t>
            </w:r>
          </w:p>
          <w:p w:rsidR="009E459C" w:rsidRPr="00FC7A12" w:rsidRDefault="009E459C" w:rsidP="00101B95">
            <w:pPr>
              <w:jc w:val="center"/>
              <w:rPr>
                <w:lang w:val="sl-SI"/>
              </w:rPr>
            </w:pPr>
            <w:r w:rsidRPr="00FC7A12">
              <w:rPr>
                <w:lang w:val="sl-SI"/>
              </w:rPr>
              <w:t>1</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1</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4</w:t>
            </w:r>
          </w:p>
        </w:tc>
        <w:tc>
          <w:tcPr>
            <w:tcW w:w="549" w:type="dxa"/>
            <w:vAlign w:val="center"/>
          </w:tcPr>
          <w:p w:rsidR="009E459C" w:rsidRPr="00FC7A12" w:rsidRDefault="009E459C" w:rsidP="00101B95">
            <w:pPr>
              <w:jc w:val="center"/>
              <w:rPr>
                <w:lang w:val="sl-SI"/>
              </w:rPr>
            </w:pPr>
            <w:r w:rsidRPr="00FC7A12">
              <w:rPr>
                <w:lang w:val="sl-SI"/>
              </w:rPr>
              <w:t>8</w:t>
            </w:r>
          </w:p>
          <w:p w:rsidR="009E459C" w:rsidRPr="00FC7A12" w:rsidRDefault="009E459C" w:rsidP="00101B95">
            <w:pPr>
              <w:jc w:val="center"/>
              <w:rPr>
                <w:lang w:val="sl-SI"/>
              </w:rPr>
            </w:pPr>
            <w:r w:rsidRPr="00FC7A12">
              <w:rPr>
                <w:lang w:val="sl-SI"/>
              </w:rPr>
              <w:t>2</w:t>
            </w:r>
          </w:p>
          <w:p w:rsidR="009E459C" w:rsidRPr="00FC7A12" w:rsidRDefault="009E459C" w:rsidP="00101B95">
            <w:pPr>
              <w:jc w:val="center"/>
              <w:rPr>
                <w:lang w:val="sl-SI"/>
              </w:rPr>
            </w:pPr>
            <w:r w:rsidRPr="00FC7A12">
              <w:rPr>
                <w:lang w:val="sl-SI"/>
              </w:rPr>
              <w:t>2</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1</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14</w:t>
            </w:r>
          </w:p>
        </w:tc>
        <w:tc>
          <w:tcPr>
            <w:tcW w:w="637" w:type="dxa"/>
            <w:vAlign w:val="center"/>
          </w:tcPr>
          <w:p w:rsidR="009E459C" w:rsidRPr="00FC7A12" w:rsidRDefault="009E459C" w:rsidP="00101B95">
            <w:pPr>
              <w:jc w:val="center"/>
              <w:rPr>
                <w:lang w:val="sl-SI"/>
              </w:rPr>
            </w:pPr>
            <w:r w:rsidRPr="00FC7A12">
              <w:rPr>
                <w:lang w:val="sl-SI"/>
              </w:rPr>
              <w:t>7</w:t>
            </w:r>
          </w:p>
          <w:p w:rsidR="009E459C" w:rsidRPr="00FC7A12" w:rsidRDefault="009E459C" w:rsidP="00101B95">
            <w:pPr>
              <w:jc w:val="center"/>
              <w:rPr>
                <w:lang w:val="sl-SI"/>
              </w:rPr>
            </w:pPr>
            <w:r w:rsidRPr="00FC7A12">
              <w:rPr>
                <w:lang w:val="sl-SI"/>
              </w:rPr>
              <w:t>1</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4</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17</w:t>
            </w:r>
          </w:p>
        </w:tc>
        <w:tc>
          <w:tcPr>
            <w:tcW w:w="624" w:type="dxa"/>
            <w:vAlign w:val="center"/>
          </w:tcPr>
          <w:p w:rsidR="009E459C" w:rsidRPr="00FC7A12" w:rsidRDefault="009E459C" w:rsidP="00101B95">
            <w:pPr>
              <w:jc w:val="center"/>
              <w:rPr>
                <w:lang w:val="sl-SI"/>
              </w:rPr>
            </w:pPr>
            <w:r w:rsidRPr="00FC7A12">
              <w:rPr>
                <w:lang w:val="sl-SI"/>
              </w:rPr>
              <w:t>1</w:t>
            </w:r>
          </w:p>
          <w:p w:rsidR="009E459C" w:rsidRPr="00FC7A12" w:rsidRDefault="009E459C" w:rsidP="00101B95">
            <w:pPr>
              <w:jc w:val="center"/>
              <w:rPr>
                <w:lang w:val="sl-SI"/>
              </w:rPr>
            </w:pPr>
            <w:r w:rsidRPr="00FC7A12">
              <w:rPr>
                <w:lang w:val="sl-SI"/>
              </w:rPr>
              <w:t>2</w:t>
            </w:r>
          </w:p>
          <w:p w:rsidR="009E459C" w:rsidRPr="00FC7A12" w:rsidRDefault="009E459C" w:rsidP="00101B95">
            <w:pPr>
              <w:jc w:val="center"/>
              <w:rPr>
                <w:lang w:val="sl-SI"/>
              </w:rPr>
            </w:pPr>
            <w:r w:rsidRPr="00FC7A12">
              <w:rPr>
                <w:lang w:val="sl-SI"/>
              </w:rPr>
              <w:t>1</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4</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18</w:t>
            </w:r>
          </w:p>
        </w:tc>
        <w:tc>
          <w:tcPr>
            <w:tcW w:w="640" w:type="dxa"/>
            <w:vAlign w:val="center"/>
          </w:tcPr>
          <w:p w:rsidR="009E459C" w:rsidRPr="00FC7A12" w:rsidRDefault="009E459C" w:rsidP="00101B95">
            <w:pPr>
              <w:jc w:val="center"/>
              <w:rPr>
                <w:lang w:val="sl-SI"/>
              </w:rPr>
            </w:pPr>
            <w:r w:rsidRPr="00FC7A12">
              <w:rPr>
                <w:lang w:val="sl-SI"/>
              </w:rPr>
              <w:t>2</w:t>
            </w:r>
          </w:p>
          <w:p w:rsidR="009E459C" w:rsidRPr="00FC7A12" w:rsidRDefault="009E459C" w:rsidP="00101B95">
            <w:pPr>
              <w:jc w:val="center"/>
              <w:rPr>
                <w:lang w:val="sl-SI"/>
              </w:rPr>
            </w:pPr>
            <w:r w:rsidRPr="00FC7A12">
              <w:rPr>
                <w:lang w:val="sl-SI"/>
              </w:rPr>
              <w:t>4</w:t>
            </w:r>
          </w:p>
          <w:p w:rsidR="009E459C" w:rsidRPr="00FC7A12" w:rsidRDefault="009E459C" w:rsidP="00101B95">
            <w:pPr>
              <w:jc w:val="center"/>
              <w:rPr>
                <w:lang w:val="sl-SI"/>
              </w:rPr>
            </w:pPr>
            <w:r w:rsidRPr="00FC7A12">
              <w:rPr>
                <w:lang w:val="sl-SI"/>
              </w:rPr>
              <w:t>11</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1</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13</w:t>
            </w:r>
          </w:p>
        </w:tc>
        <w:tc>
          <w:tcPr>
            <w:tcW w:w="562" w:type="dxa"/>
            <w:vAlign w:val="center"/>
          </w:tcPr>
          <w:p w:rsidR="009E459C" w:rsidRPr="00FC7A12" w:rsidRDefault="009E459C" w:rsidP="00101B95">
            <w:pPr>
              <w:jc w:val="center"/>
              <w:rPr>
                <w:lang w:val="sl-SI"/>
              </w:rPr>
            </w:pPr>
            <w:r w:rsidRPr="00FC7A12">
              <w:rPr>
                <w:lang w:val="sl-SI"/>
              </w:rPr>
              <w:t>4</w:t>
            </w:r>
          </w:p>
          <w:p w:rsidR="009E459C" w:rsidRPr="00FC7A12" w:rsidRDefault="009E459C" w:rsidP="00101B95">
            <w:pPr>
              <w:jc w:val="center"/>
              <w:rPr>
                <w:lang w:val="sl-SI"/>
              </w:rPr>
            </w:pPr>
            <w:r w:rsidRPr="00FC7A12">
              <w:rPr>
                <w:lang w:val="sl-SI"/>
              </w:rPr>
              <w:t>1</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1</w:t>
            </w:r>
          </w:p>
          <w:p w:rsidR="009E459C" w:rsidRPr="00FC7A12" w:rsidRDefault="009E459C" w:rsidP="00101B95">
            <w:pPr>
              <w:jc w:val="center"/>
              <w:rPr>
                <w:lang w:val="sl-SI"/>
              </w:rPr>
            </w:pPr>
            <w:r w:rsidRPr="00FC7A12">
              <w:rPr>
                <w:lang w:val="sl-SI"/>
              </w:rPr>
              <w:t>1</w:t>
            </w:r>
          </w:p>
          <w:p w:rsidR="009E459C" w:rsidRPr="00FC7A12" w:rsidRDefault="009E459C" w:rsidP="00101B95">
            <w:pPr>
              <w:jc w:val="center"/>
              <w:rPr>
                <w:lang w:val="sl-SI"/>
              </w:rPr>
            </w:pPr>
            <w:r w:rsidRPr="00FC7A12">
              <w:rPr>
                <w:lang w:val="sl-SI"/>
              </w:rPr>
              <w:t>1</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12</w:t>
            </w:r>
          </w:p>
        </w:tc>
        <w:tc>
          <w:tcPr>
            <w:tcW w:w="502" w:type="dxa"/>
            <w:vAlign w:val="center"/>
          </w:tcPr>
          <w:p w:rsidR="009E459C" w:rsidRPr="00FC7A12" w:rsidRDefault="009E459C" w:rsidP="00101B95">
            <w:pPr>
              <w:jc w:val="center"/>
              <w:rPr>
                <w:lang w:val="sl-SI"/>
              </w:rPr>
            </w:pPr>
            <w:r w:rsidRPr="00FC7A12">
              <w:rPr>
                <w:lang w:val="sl-SI"/>
              </w:rPr>
              <w:t>3</w:t>
            </w:r>
          </w:p>
          <w:p w:rsidR="009E459C" w:rsidRPr="00FC7A12" w:rsidRDefault="009E459C" w:rsidP="00101B95">
            <w:pPr>
              <w:jc w:val="center"/>
              <w:rPr>
                <w:lang w:val="sl-SI"/>
              </w:rPr>
            </w:pPr>
            <w:r w:rsidRPr="00FC7A12">
              <w:rPr>
                <w:lang w:val="sl-SI"/>
              </w:rPr>
              <w:t>3</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2</w:t>
            </w:r>
          </w:p>
          <w:p w:rsidR="009E459C" w:rsidRPr="00FC7A12" w:rsidRDefault="009E459C" w:rsidP="00101B95">
            <w:pPr>
              <w:jc w:val="center"/>
              <w:rPr>
                <w:lang w:val="sl-SI"/>
              </w:rPr>
            </w:pPr>
            <w:r w:rsidRPr="00FC7A12">
              <w:rPr>
                <w:lang w:val="sl-SI"/>
              </w:rPr>
              <w:t>1</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6</w:t>
            </w:r>
          </w:p>
        </w:tc>
        <w:tc>
          <w:tcPr>
            <w:tcW w:w="535" w:type="dxa"/>
            <w:vAlign w:val="center"/>
          </w:tcPr>
          <w:p w:rsidR="009E459C" w:rsidRPr="00FC7A12" w:rsidRDefault="009E459C" w:rsidP="00101B95">
            <w:pPr>
              <w:jc w:val="center"/>
              <w:rPr>
                <w:lang w:val="sl-SI"/>
              </w:rPr>
            </w:pPr>
            <w:r w:rsidRPr="00FC7A12">
              <w:rPr>
                <w:lang w:val="sl-SI"/>
              </w:rPr>
              <w:t>1</w:t>
            </w:r>
          </w:p>
          <w:p w:rsidR="009E459C" w:rsidRPr="00FC7A12" w:rsidRDefault="009E459C" w:rsidP="00101B95">
            <w:pPr>
              <w:jc w:val="center"/>
              <w:rPr>
                <w:lang w:val="sl-SI"/>
              </w:rPr>
            </w:pPr>
            <w:r w:rsidRPr="00FC7A12">
              <w:rPr>
                <w:lang w:val="sl-SI"/>
              </w:rPr>
              <w:t>5</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1</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2</w:t>
            </w:r>
          </w:p>
          <w:p w:rsidR="009E459C" w:rsidRPr="00FC7A12" w:rsidRDefault="009E459C" w:rsidP="00101B95">
            <w:pPr>
              <w:jc w:val="center"/>
              <w:rPr>
                <w:lang w:val="sl-SI"/>
              </w:rPr>
            </w:pPr>
            <w:r w:rsidRPr="00FC7A12">
              <w:rPr>
                <w:lang w:val="sl-SI"/>
              </w:rPr>
              <w:t>0</w:t>
            </w:r>
          </w:p>
          <w:p w:rsidR="009E459C" w:rsidRPr="00FC7A12" w:rsidRDefault="009E459C" w:rsidP="00101B95">
            <w:pPr>
              <w:jc w:val="center"/>
              <w:rPr>
                <w:lang w:val="sl-SI"/>
              </w:rPr>
            </w:pPr>
            <w:r w:rsidRPr="00FC7A12">
              <w:rPr>
                <w:lang w:val="sl-SI"/>
              </w:rPr>
              <w:t>1</w:t>
            </w:r>
          </w:p>
          <w:p w:rsidR="009E459C" w:rsidRPr="00FC7A12" w:rsidRDefault="009E459C" w:rsidP="00101B95">
            <w:pPr>
              <w:jc w:val="center"/>
              <w:rPr>
                <w:lang w:val="sl-SI"/>
              </w:rPr>
            </w:pPr>
            <w:r w:rsidRPr="00FC7A12">
              <w:rPr>
                <w:lang w:val="sl-SI"/>
              </w:rPr>
              <w:t>10</w:t>
            </w:r>
          </w:p>
        </w:tc>
      </w:tr>
      <w:tr w:rsidR="009E459C" w:rsidRPr="00FC7A12" w:rsidTr="00101B95">
        <w:trPr>
          <w:trHeight w:val="301"/>
        </w:trPr>
        <w:tc>
          <w:tcPr>
            <w:tcW w:w="590" w:type="dxa"/>
            <w:vAlign w:val="center"/>
          </w:tcPr>
          <w:p w:rsidR="009E459C" w:rsidRPr="00FC7A12" w:rsidRDefault="009E459C" w:rsidP="00101B95">
            <w:pPr>
              <w:jc w:val="center"/>
              <w:rPr>
                <w:b/>
                <w:lang w:val="sl-SI"/>
              </w:rPr>
            </w:pPr>
            <w:r w:rsidRPr="00FC7A12">
              <w:rPr>
                <w:b/>
                <w:lang w:val="sl-SI"/>
              </w:rPr>
              <w:t>8</w:t>
            </w:r>
          </w:p>
        </w:tc>
        <w:tc>
          <w:tcPr>
            <w:tcW w:w="2279" w:type="dxa"/>
            <w:vAlign w:val="center"/>
          </w:tcPr>
          <w:p w:rsidR="009E459C" w:rsidRPr="00FC7A12" w:rsidRDefault="009E459C" w:rsidP="00101B95">
            <w:pPr>
              <w:rPr>
                <w:lang w:val="sl-SI"/>
              </w:rPr>
            </w:pPr>
            <w:r w:rsidRPr="00FC7A12">
              <w:rPr>
                <w:b/>
                <w:lang w:val="sl-SI"/>
              </w:rPr>
              <w:t>Šumski požari</w:t>
            </w:r>
          </w:p>
        </w:tc>
        <w:tc>
          <w:tcPr>
            <w:tcW w:w="525" w:type="dxa"/>
            <w:shd w:val="clear" w:color="auto" w:fill="F3F3F3"/>
            <w:vAlign w:val="center"/>
          </w:tcPr>
          <w:p w:rsidR="009E459C" w:rsidRPr="00FC7A12" w:rsidRDefault="009E459C" w:rsidP="00101B95">
            <w:pPr>
              <w:jc w:val="center"/>
              <w:rPr>
                <w:b/>
                <w:lang w:val="sl-SI"/>
              </w:rPr>
            </w:pPr>
            <w:r w:rsidRPr="00FC7A12">
              <w:rPr>
                <w:b/>
                <w:lang w:val="sl-SI"/>
              </w:rPr>
              <w:t>3</w:t>
            </w:r>
          </w:p>
        </w:tc>
        <w:tc>
          <w:tcPr>
            <w:tcW w:w="556" w:type="dxa"/>
            <w:shd w:val="clear" w:color="auto" w:fill="F3F3F3"/>
            <w:vAlign w:val="center"/>
          </w:tcPr>
          <w:p w:rsidR="009E459C" w:rsidRPr="00FC7A12" w:rsidRDefault="009E459C" w:rsidP="00101B95">
            <w:pPr>
              <w:jc w:val="center"/>
              <w:rPr>
                <w:b/>
                <w:lang w:val="sl-SI"/>
              </w:rPr>
            </w:pPr>
            <w:r w:rsidRPr="00FC7A12">
              <w:rPr>
                <w:b/>
                <w:lang w:val="sl-SI"/>
              </w:rPr>
              <w:t>1</w:t>
            </w:r>
          </w:p>
        </w:tc>
        <w:tc>
          <w:tcPr>
            <w:tcW w:w="594" w:type="dxa"/>
            <w:shd w:val="clear" w:color="auto" w:fill="F3F3F3"/>
            <w:vAlign w:val="center"/>
          </w:tcPr>
          <w:p w:rsidR="009E459C" w:rsidRPr="00FC7A12" w:rsidRDefault="009E459C" w:rsidP="00101B95">
            <w:pPr>
              <w:jc w:val="center"/>
              <w:rPr>
                <w:b/>
                <w:lang w:val="sl-SI"/>
              </w:rPr>
            </w:pPr>
            <w:r w:rsidRPr="00FC7A12">
              <w:rPr>
                <w:b/>
                <w:lang w:val="sl-SI"/>
              </w:rPr>
              <w:t>0</w:t>
            </w:r>
          </w:p>
        </w:tc>
        <w:tc>
          <w:tcPr>
            <w:tcW w:w="540" w:type="dxa"/>
            <w:shd w:val="clear" w:color="auto" w:fill="F3F3F3"/>
            <w:vAlign w:val="center"/>
          </w:tcPr>
          <w:p w:rsidR="009E459C" w:rsidRPr="00FC7A12" w:rsidRDefault="009E459C" w:rsidP="00101B95">
            <w:pPr>
              <w:jc w:val="center"/>
              <w:rPr>
                <w:b/>
                <w:lang w:val="sl-SI"/>
              </w:rPr>
            </w:pPr>
            <w:r w:rsidRPr="00FC7A12">
              <w:rPr>
                <w:b/>
                <w:lang w:val="sl-SI"/>
              </w:rPr>
              <w:t>6</w:t>
            </w:r>
          </w:p>
        </w:tc>
        <w:tc>
          <w:tcPr>
            <w:tcW w:w="537" w:type="dxa"/>
            <w:shd w:val="clear" w:color="auto" w:fill="F3F3F3"/>
            <w:vAlign w:val="center"/>
          </w:tcPr>
          <w:p w:rsidR="009E459C" w:rsidRPr="00FC7A12" w:rsidRDefault="009E459C" w:rsidP="00101B95">
            <w:pPr>
              <w:jc w:val="center"/>
              <w:rPr>
                <w:b/>
                <w:lang w:val="sl-SI"/>
              </w:rPr>
            </w:pPr>
            <w:r w:rsidRPr="00FC7A12">
              <w:rPr>
                <w:b/>
                <w:lang w:val="sl-SI"/>
              </w:rPr>
              <w:t>1</w:t>
            </w:r>
          </w:p>
        </w:tc>
        <w:tc>
          <w:tcPr>
            <w:tcW w:w="549" w:type="dxa"/>
            <w:shd w:val="clear" w:color="auto" w:fill="F3F3F3"/>
            <w:vAlign w:val="center"/>
          </w:tcPr>
          <w:p w:rsidR="009E459C" w:rsidRPr="00FC7A12" w:rsidRDefault="009E459C" w:rsidP="00101B95">
            <w:pPr>
              <w:jc w:val="center"/>
              <w:rPr>
                <w:b/>
                <w:lang w:val="sl-SI"/>
              </w:rPr>
            </w:pPr>
            <w:r w:rsidRPr="00FC7A12">
              <w:rPr>
                <w:b/>
                <w:lang w:val="sl-SI"/>
              </w:rPr>
              <w:t>0</w:t>
            </w:r>
          </w:p>
        </w:tc>
        <w:tc>
          <w:tcPr>
            <w:tcW w:w="637" w:type="dxa"/>
            <w:shd w:val="clear" w:color="auto" w:fill="F3F3F3"/>
            <w:vAlign w:val="center"/>
          </w:tcPr>
          <w:p w:rsidR="009E459C" w:rsidRPr="00FC7A12" w:rsidRDefault="009E459C" w:rsidP="00101B95">
            <w:pPr>
              <w:jc w:val="center"/>
              <w:rPr>
                <w:b/>
                <w:lang w:val="sl-SI"/>
              </w:rPr>
            </w:pPr>
            <w:r w:rsidRPr="00FC7A12">
              <w:rPr>
                <w:b/>
                <w:lang w:val="sl-SI"/>
              </w:rPr>
              <w:t>0</w:t>
            </w:r>
          </w:p>
        </w:tc>
        <w:tc>
          <w:tcPr>
            <w:tcW w:w="624" w:type="dxa"/>
            <w:shd w:val="clear" w:color="auto" w:fill="F3F3F3"/>
            <w:vAlign w:val="center"/>
          </w:tcPr>
          <w:p w:rsidR="009E459C" w:rsidRPr="00FC7A12" w:rsidRDefault="009E459C" w:rsidP="00101B95">
            <w:pPr>
              <w:jc w:val="center"/>
              <w:rPr>
                <w:b/>
                <w:lang w:val="sl-SI"/>
              </w:rPr>
            </w:pPr>
            <w:r w:rsidRPr="00FC7A12">
              <w:rPr>
                <w:b/>
                <w:lang w:val="sl-SI"/>
              </w:rPr>
              <w:t>1</w:t>
            </w:r>
          </w:p>
        </w:tc>
        <w:tc>
          <w:tcPr>
            <w:tcW w:w="640" w:type="dxa"/>
            <w:shd w:val="clear" w:color="auto" w:fill="F3F3F3"/>
            <w:vAlign w:val="center"/>
          </w:tcPr>
          <w:p w:rsidR="009E459C" w:rsidRPr="00FC7A12" w:rsidRDefault="009E459C" w:rsidP="00101B95">
            <w:pPr>
              <w:jc w:val="center"/>
              <w:rPr>
                <w:b/>
                <w:lang w:val="sl-SI"/>
              </w:rPr>
            </w:pPr>
            <w:r w:rsidRPr="00FC7A12">
              <w:rPr>
                <w:b/>
                <w:lang w:val="sl-SI"/>
              </w:rPr>
              <w:t>2</w:t>
            </w:r>
          </w:p>
        </w:tc>
        <w:tc>
          <w:tcPr>
            <w:tcW w:w="562" w:type="dxa"/>
            <w:shd w:val="clear" w:color="auto" w:fill="F3F3F3"/>
            <w:vAlign w:val="center"/>
          </w:tcPr>
          <w:p w:rsidR="009E459C" w:rsidRPr="00FC7A12" w:rsidRDefault="009E459C" w:rsidP="00101B95">
            <w:pPr>
              <w:jc w:val="center"/>
              <w:rPr>
                <w:b/>
                <w:lang w:val="sl-SI"/>
              </w:rPr>
            </w:pPr>
            <w:r w:rsidRPr="00FC7A12">
              <w:rPr>
                <w:b/>
                <w:lang w:val="sl-SI"/>
              </w:rPr>
              <w:t>0</w:t>
            </w:r>
          </w:p>
        </w:tc>
        <w:tc>
          <w:tcPr>
            <w:tcW w:w="502" w:type="dxa"/>
            <w:shd w:val="clear" w:color="auto" w:fill="F3F3F3"/>
            <w:vAlign w:val="center"/>
          </w:tcPr>
          <w:p w:rsidR="009E459C" w:rsidRPr="00FC7A12" w:rsidRDefault="009E459C" w:rsidP="00101B95">
            <w:pPr>
              <w:jc w:val="center"/>
              <w:rPr>
                <w:b/>
                <w:lang w:val="sl-SI"/>
              </w:rPr>
            </w:pPr>
            <w:r w:rsidRPr="00FC7A12">
              <w:rPr>
                <w:b/>
                <w:lang w:val="sl-SI"/>
              </w:rPr>
              <w:t>4</w:t>
            </w:r>
          </w:p>
        </w:tc>
        <w:tc>
          <w:tcPr>
            <w:tcW w:w="535" w:type="dxa"/>
            <w:shd w:val="clear" w:color="auto" w:fill="F3F3F3"/>
            <w:vAlign w:val="center"/>
          </w:tcPr>
          <w:p w:rsidR="009E459C" w:rsidRPr="00FC7A12" w:rsidRDefault="009E459C" w:rsidP="00101B95">
            <w:pPr>
              <w:jc w:val="center"/>
              <w:rPr>
                <w:b/>
                <w:lang w:val="sl-SI"/>
              </w:rPr>
            </w:pPr>
            <w:r w:rsidRPr="00FC7A12">
              <w:rPr>
                <w:b/>
                <w:lang w:val="sl-SI"/>
              </w:rPr>
              <w:t>0</w:t>
            </w:r>
          </w:p>
        </w:tc>
      </w:tr>
      <w:tr w:rsidR="009E459C" w:rsidRPr="00FC7A12" w:rsidTr="00101B95">
        <w:trPr>
          <w:trHeight w:val="301"/>
        </w:trPr>
        <w:tc>
          <w:tcPr>
            <w:tcW w:w="590" w:type="dxa"/>
            <w:vAlign w:val="center"/>
          </w:tcPr>
          <w:p w:rsidR="009E459C" w:rsidRPr="00FC7A12" w:rsidRDefault="009E459C" w:rsidP="00101B95">
            <w:pPr>
              <w:jc w:val="center"/>
              <w:rPr>
                <w:b/>
                <w:lang w:val="sl-SI"/>
              </w:rPr>
            </w:pPr>
            <w:r w:rsidRPr="00FC7A12">
              <w:rPr>
                <w:b/>
                <w:lang w:val="sl-SI"/>
              </w:rPr>
              <w:lastRenderedPageBreak/>
              <w:t>9</w:t>
            </w:r>
          </w:p>
        </w:tc>
        <w:tc>
          <w:tcPr>
            <w:tcW w:w="2279" w:type="dxa"/>
            <w:vAlign w:val="center"/>
          </w:tcPr>
          <w:p w:rsidR="009E459C" w:rsidRPr="00FC7A12" w:rsidRDefault="009E459C" w:rsidP="00101B95">
            <w:pPr>
              <w:rPr>
                <w:b/>
                <w:lang w:val="sl-SI"/>
              </w:rPr>
            </w:pPr>
            <w:r w:rsidRPr="00FC7A12">
              <w:rPr>
                <w:b/>
                <w:lang w:val="sl-SI"/>
              </w:rPr>
              <w:t>Nisko rastinje</w:t>
            </w:r>
          </w:p>
        </w:tc>
        <w:tc>
          <w:tcPr>
            <w:tcW w:w="525" w:type="dxa"/>
            <w:shd w:val="clear" w:color="auto" w:fill="F3F3F3"/>
            <w:vAlign w:val="center"/>
          </w:tcPr>
          <w:p w:rsidR="009E459C" w:rsidRPr="00FC7A12" w:rsidRDefault="009E459C" w:rsidP="00101B95">
            <w:pPr>
              <w:jc w:val="center"/>
              <w:rPr>
                <w:b/>
                <w:lang w:val="sl-SI"/>
              </w:rPr>
            </w:pPr>
            <w:r w:rsidRPr="00FC7A12">
              <w:rPr>
                <w:b/>
                <w:lang w:val="sl-SI"/>
              </w:rPr>
              <w:t>19</w:t>
            </w:r>
          </w:p>
        </w:tc>
        <w:tc>
          <w:tcPr>
            <w:tcW w:w="556" w:type="dxa"/>
            <w:shd w:val="clear" w:color="auto" w:fill="F3F3F3"/>
            <w:vAlign w:val="center"/>
          </w:tcPr>
          <w:p w:rsidR="009E459C" w:rsidRPr="00FC7A12" w:rsidRDefault="009E459C" w:rsidP="00101B95">
            <w:pPr>
              <w:jc w:val="center"/>
              <w:rPr>
                <w:b/>
                <w:lang w:val="sl-SI"/>
              </w:rPr>
            </w:pPr>
            <w:r w:rsidRPr="00FC7A12">
              <w:rPr>
                <w:b/>
                <w:lang w:val="sl-SI"/>
              </w:rPr>
              <w:t>11</w:t>
            </w:r>
          </w:p>
        </w:tc>
        <w:tc>
          <w:tcPr>
            <w:tcW w:w="594" w:type="dxa"/>
            <w:shd w:val="clear" w:color="auto" w:fill="F3F3F3"/>
            <w:vAlign w:val="center"/>
          </w:tcPr>
          <w:p w:rsidR="009E459C" w:rsidRPr="00FC7A12" w:rsidRDefault="009E459C" w:rsidP="00101B95">
            <w:pPr>
              <w:jc w:val="center"/>
              <w:rPr>
                <w:b/>
                <w:lang w:val="sl-SI"/>
              </w:rPr>
            </w:pPr>
            <w:r w:rsidRPr="00FC7A12">
              <w:rPr>
                <w:b/>
                <w:lang w:val="sl-SI"/>
              </w:rPr>
              <w:t>16</w:t>
            </w:r>
          </w:p>
        </w:tc>
        <w:tc>
          <w:tcPr>
            <w:tcW w:w="540" w:type="dxa"/>
            <w:shd w:val="clear" w:color="auto" w:fill="F3F3F3"/>
            <w:vAlign w:val="center"/>
          </w:tcPr>
          <w:p w:rsidR="009E459C" w:rsidRPr="00FC7A12" w:rsidRDefault="009E459C" w:rsidP="00101B95">
            <w:pPr>
              <w:jc w:val="center"/>
              <w:rPr>
                <w:b/>
                <w:lang w:val="sl-SI"/>
              </w:rPr>
            </w:pPr>
            <w:r w:rsidRPr="00FC7A12">
              <w:rPr>
                <w:b/>
                <w:lang w:val="sl-SI"/>
              </w:rPr>
              <w:t>22</w:t>
            </w:r>
          </w:p>
        </w:tc>
        <w:tc>
          <w:tcPr>
            <w:tcW w:w="537" w:type="dxa"/>
            <w:shd w:val="clear" w:color="auto" w:fill="F3F3F3"/>
            <w:vAlign w:val="center"/>
          </w:tcPr>
          <w:p w:rsidR="009E459C" w:rsidRPr="00FC7A12" w:rsidRDefault="009E459C" w:rsidP="00101B95">
            <w:pPr>
              <w:jc w:val="center"/>
              <w:rPr>
                <w:b/>
                <w:lang w:val="sl-SI"/>
              </w:rPr>
            </w:pPr>
            <w:r w:rsidRPr="00FC7A12">
              <w:rPr>
                <w:b/>
                <w:lang w:val="sl-SI"/>
              </w:rPr>
              <w:t>2</w:t>
            </w:r>
          </w:p>
        </w:tc>
        <w:tc>
          <w:tcPr>
            <w:tcW w:w="549" w:type="dxa"/>
            <w:shd w:val="clear" w:color="auto" w:fill="F3F3F3"/>
            <w:vAlign w:val="center"/>
          </w:tcPr>
          <w:p w:rsidR="009E459C" w:rsidRPr="00FC7A12" w:rsidRDefault="009E459C" w:rsidP="00101B95">
            <w:pPr>
              <w:jc w:val="center"/>
              <w:rPr>
                <w:b/>
                <w:lang w:val="sl-SI"/>
              </w:rPr>
            </w:pPr>
            <w:r w:rsidRPr="00FC7A12">
              <w:rPr>
                <w:b/>
                <w:lang w:val="sl-SI"/>
              </w:rPr>
              <w:t>3</w:t>
            </w:r>
          </w:p>
        </w:tc>
        <w:tc>
          <w:tcPr>
            <w:tcW w:w="637" w:type="dxa"/>
            <w:shd w:val="clear" w:color="auto" w:fill="F3F3F3"/>
            <w:vAlign w:val="center"/>
          </w:tcPr>
          <w:p w:rsidR="009E459C" w:rsidRPr="00FC7A12" w:rsidRDefault="009E459C" w:rsidP="00101B95">
            <w:pPr>
              <w:jc w:val="center"/>
              <w:rPr>
                <w:b/>
                <w:lang w:val="sl-SI"/>
              </w:rPr>
            </w:pPr>
            <w:r w:rsidRPr="00FC7A12">
              <w:rPr>
                <w:b/>
                <w:lang w:val="sl-SI"/>
              </w:rPr>
              <w:t>77</w:t>
            </w:r>
          </w:p>
        </w:tc>
        <w:tc>
          <w:tcPr>
            <w:tcW w:w="624" w:type="dxa"/>
            <w:shd w:val="clear" w:color="auto" w:fill="F3F3F3"/>
            <w:vAlign w:val="center"/>
          </w:tcPr>
          <w:p w:rsidR="009E459C" w:rsidRPr="00FC7A12" w:rsidRDefault="009E459C" w:rsidP="00101B95">
            <w:pPr>
              <w:jc w:val="center"/>
              <w:rPr>
                <w:b/>
                <w:lang w:val="sl-SI"/>
              </w:rPr>
            </w:pPr>
            <w:r w:rsidRPr="00FC7A12">
              <w:rPr>
                <w:b/>
                <w:lang w:val="sl-SI"/>
              </w:rPr>
              <w:t>28</w:t>
            </w:r>
          </w:p>
        </w:tc>
        <w:tc>
          <w:tcPr>
            <w:tcW w:w="640" w:type="dxa"/>
            <w:shd w:val="clear" w:color="auto" w:fill="F3F3F3"/>
            <w:vAlign w:val="center"/>
          </w:tcPr>
          <w:p w:rsidR="009E459C" w:rsidRPr="00FC7A12" w:rsidRDefault="009E459C" w:rsidP="00101B95">
            <w:pPr>
              <w:jc w:val="center"/>
              <w:rPr>
                <w:b/>
                <w:lang w:val="sl-SI"/>
              </w:rPr>
            </w:pPr>
            <w:r w:rsidRPr="00FC7A12">
              <w:rPr>
                <w:b/>
                <w:lang w:val="sl-SI"/>
              </w:rPr>
              <w:t>33</w:t>
            </w:r>
          </w:p>
        </w:tc>
        <w:tc>
          <w:tcPr>
            <w:tcW w:w="562" w:type="dxa"/>
            <w:shd w:val="clear" w:color="auto" w:fill="F3F3F3"/>
            <w:vAlign w:val="center"/>
          </w:tcPr>
          <w:p w:rsidR="009E459C" w:rsidRPr="00FC7A12" w:rsidRDefault="009E459C" w:rsidP="00101B95">
            <w:pPr>
              <w:jc w:val="center"/>
              <w:rPr>
                <w:b/>
                <w:lang w:val="sl-SI"/>
              </w:rPr>
            </w:pPr>
            <w:r w:rsidRPr="00FC7A12">
              <w:rPr>
                <w:b/>
                <w:lang w:val="sl-SI"/>
              </w:rPr>
              <w:t>0</w:t>
            </w:r>
          </w:p>
        </w:tc>
        <w:tc>
          <w:tcPr>
            <w:tcW w:w="502" w:type="dxa"/>
            <w:shd w:val="clear" w:color="auto" w:fill="F3F3F3"/>
            <w:vAlign w:val="center"/>
          </w:tcPr>
          <w:p w:rsidR="009E459C" w:rsidRPr="00FC7A12" w:rsidRDefault="009E459C" w:rsidP="00101B95">
            <w:pPr>
              <w:jc w:val="center"/>
              <w:rPr>
                <w:b/>
                <w:lang w:val="sl-SI"/>
              </w:rPr>
            </w:pPr>
            <w:r w:rsidRPr="00FC7A12">
              <w:rPr>
                <w:b/>
                <w:lang w:val="sl-SI"/>
              </w:rPr>
              <w:t>5</w:t>
            </w:r>
          </w:p>
        </w:tc>
        <w:tc>
          <w:tcPr>
            <w:tcW w:w="535" w:type="dxa"/>
            <w:shd w:val="clear" w:color="auto" w:fill="F3F3F3"/>
            <w:vAlign w:val="center"/>
          </w:tcPr>
          <w:p w:rsidR="009E459C" w:rsidRPr="00FC7A12" w:rsidRDefault="009E459C" w:rsidP="00101B95">
            <w:pPr>
              <w:jc w:val="center"/>
              <w:rPr>
                <w:b/>
                <w:lang w:val="sl-SI"/>
              </w:rPr>
            </w:pPr>
            <w:r w:rsidRPr="00FC7A12">
              <w:rPr>
                <w:b/>
                <w:lang w:val="sl-SI"/>
              </w:rPr>
              <w:t>0</w:t>
            </w:r>
          </w:p>
        </w:tc>
      </w:tr>
      <w:tr w:rsidR="009E459C" w:rsidRPr="00FC7A12" w:rsidTr="00101B95">
        <w:trPr>
          <w:trHeight w:val="447"/>
        </w:trPr>
        <w:tc>
          <w:tcPr>
            <w:tcW w:w="590" w:type="dxa"/>
            <w:vAlign w:val="center"/>
          </w:tcPr>
          <w:p w:rsidR="009E459C" w:rsidRPr="00FC7A12" w:rsidRDefault="009E459C" w:rsidP="00101B95">
            <w:pPr>
              <w:jc w:val="center"/>
              <w:rPr>
                <w:b/>
                <w:lang w:val="sl-SI"/>
              </w:rPr>
            </w:pPr>
            <w:r w:rsidRPr="00FC7A12">
              <w:rPr>
                <w:b/>
                <w:lang w:val="sl-SI"/>
              </w:rPr>
              <w:t>10</w:t>
            </w:r>
          </w:p>
        </w:tc>
        <w:tc>
          <w:tcPr>
            <w:tcW w:w="2279" w:type="dxa"/>
            <w:vAlign w:val="center"/>
          </w:tcPr>
          <w:p w:rsidR="009E459C" w:rsidRPr="00FC7A12" w:rsidRDefault="009E459C" w:rsidP="00101B95">
            <w:pPr>
              <w:rPr>
                <w:b/>
                <w:lang w:val="sl-SI"/>
              </w:rPr>
            </w:pPr>
            <w:r w:rsidRPr="00FC7A12">
              <w:rPr>
                <w:b/>
                <w:lang w:val="sl-SI"/>
              </w:rPr>
              <w:t>Ostale intervencije (smeće, trava, ...)</w:t>
            </w:r>
          </w:p>
        </w:tc>
        <w:tc>
          <w:tcPr>
            <w:tcW w:w="525" w:type="dxa"/>
            <w:shd w:val="clear" w:color="auto" w:fill="F3F3F3"/>
            <w:vAlign w:val="center"/>
          </w:tcPr>
          <w:p w:rsidR="009E459C" w:rsidRPr="00FC7A12" w:rsidRDefault="009E459C" w:rsidP="00101B95">
            <w:pPr>
              <w:jc w:val="center"/>
              <w:rPr>
                <w:b/>
                <w:lang w:val="sl-SI"/>
              </w:rPr>
            </w:pPr>
            <w:r w:rsidRPr="00FC7A12">
              <w:rPr>
                <w:b/>
                <w:lang w:val="sl-SI"/>
              </w:rPr>
              <w:t>28</w:t>
            </w:r>
          </w:p>
        </w:tc>
        <w:tc>
          <w:tcPr>
            <w:tcW w:w="556" w:type="dxa"/>
            <w:shd w:val="clear" w:color="auto" w:fill="F3F3F3"/>
            <w:vAlign w:val="center"/>
          </w:tcPr>
          <w:p w:rsidR="009E459C" w:rsidRPr="00FC7A12" w:rsidRDefault="009E459C" w:rsidP="00101B95">
            <w:pPr>
              <w:jc w:val="center"/>
              <w:rPr>
                <w:b/>
                <w:lang w:val="sl-SI"/>
              </w:rPr>
            </w:pPr>
            <w:r w:rsidRPr="00FC7A12">
              <w:rPr>
                <w:b/>
                <w:lang w:val="sl-SI"/>
              </w:rPr>
              <w:t>23</w:t>
            </w:r>
          </w:p>
        </w:tc>
        <w:tc>
          <w:tcPr>
            <w:tcW w:w="594" w:type="dxa"/>
            <w:shd w:val="clear" w:color="auto" w:fill="F3F3F3"/>
            <w:vAlign w:val="center"/>
          </w:tcPr>
          <w:p w:rsidR="009E459C" w:rsidRPr="00FC7A12" w:rsidRDefault="009E459C" w:rsidP="00101B95">
            <w:pPr>
              <w:jc w:val="center"/>
              <w:rPr>
                <w:b/>
                <w:lang w:val="sl-SI"/>
              </w:rPr>
            </w:pPr>
            <w:r w:rsidRPr="00FC7A12">
              <w:rPr>
                <w:b/>
                <w:lang w:val="sl-SI"/>
              </w:rPr>
              <w:t>12</w:t>
            </w:r>
          </w:p>
        </w:tc>
        <w:tc>
          <w:tcPr>
            <w:tcW w:w="540" w:type="dxa"/>
            <w:shd w:val="clear" w:color="auto" w:fill="F3F3F3"/>
            <w:vAlign w:val="center"/>
          </w:tcPr>
          <w:p w:rsidR="009E459C" w:rsidRPr="00FC7A12" w:rsidRDefault="009E459C" w:rsidP="00101B95">
            <w:pPr>
              <w:jc w:val="center"/>
              <w:rPr>
                <w:b/>
                <w:lang w:val="sl-SI"/>
              </w:rPr>
            </w:pPr>
            <w:r w:rsidRPr="00FC7A12">
              <w:rPr>
                <w:b/>
                <w:lang w:val="sl-SI"/>
              </w:rPr>
              <w:t>41</w:t>
            </w:r>
          </w:p>
        </w:tc>
        <w:tc>
          <w:tcPr>
            <w:tcW w:w="537" w:type="dxa"/>
            <w:shd w:val="clear" w:color="auto" w:fill="F3F3F3"/>
            <w:vAlign w:val="center"/>
          </w:tcPr>
          <w:p w:rsidR="009E459C" w:rsidRPr="00FC7A12" w:rsidRDefault="009E459C" w:rsidP="00101B95">
            <w:pPr>
              <w:jc w:val="center"/>
              <w:rPr>
                <w:b/>
                <w:lang w:val="sl-SI"/>
              </w:rPr>
            </w:pPr>
            <w:r w:rsidRPr="00FC7A12">
              <w:rPr>
                <w:b/>
                <w:lang w:val="sl-SI"/>
              </w:rPr>
              <w:t>17</w:t>
            </w:r>
          </w:p>
        </w:tc>
        <w:tc>
          <w:tcPr>
            <w:tcW w:w="549" w:type="dxa"/>
            <w:shd w:val="clear" w:color="auto" w:fill="F3F3F3"/>
            <w:vAlign w:val="center"/>
          </w:tcPr>
          <w:p w:rsidR="009E459C" w:rsidRPr="00FC7A12" w:rsidRDefault="009E459C" w:rsidP="00101B95">
            <w:pPr>
              <w:jc w:val="center"/>
              <w:rPr>
                <w:b/>
                <w:lang w:val="sl-SI"/>
              </w:rPr>
            </w:pPr>
            <w:r w:rsidRPr="00FC7A12">
              <w:rPr>
                <w:b/>
                <w:lang w:val="sl-SI"/>
              </w:rPr>
              <w:t>12</w:t>
            </w:r>
          </w:p>
        </w:tc>
        <w:tc>
          <w:tcPr>
            <w:tcW w:w="637" w:type="dxa"/>
            <w:shd w:val="clear" w:color="auto" w:fill="F3F3F3"/>
            <w:vAlign w:val="center"/>
          </w:tcPr>
          <w:p w:rsidR="009E459C" w:rsidRPr="00FC7A12" w:rsidRDefault="009E459C" w:rsidP="00101B95">
            <w:pPr>
              <w:jc w:val="center"/>
              <w:rPr>
                <w:b/>
                <w:lang w:val="sl-SI"/>
              </w:rPr>
            </w:pPr>
            <w:r w:rsidRPr="00FC7A12">
              <w:rPr>
                <w:b/>
                <w:lang w:val="sl-SI"/>
              </w:rPr>
              <w:t>32</w:t>
            </w:r>
          </w:p>
        </w:tc>
        <w:tc>
          <w:tcPr>
            <w:tcW w:w="624" w:type="dxa"/>
            <w:shd w:val="clear" w:color="auto" w:fill="F3F3F3"/>
            <w:vAlign w:val="center"/>
          </w:tcPr>
          <w:p w:rsidR="009E459C" w:rsidRPr="00FC7A12" w:rsidRDefault="009E459C" w:rsidP="00101B95">
            <w:pPr>
              <w:jc w:val="center"/>
              <w:rPr>
                <w:b/>
                <w:lang w:val="sl-SI"/>
              </w:rPr>
            </w:pPr>
            <w:r w:rsidRPr="00FC7A12">
              <w:rPr>
                <w:b/>
                <w:lang w:val="sl-SI"/>
              </w:rPr>
              <w:t>28</w:t>
            </w:r>
          </w:p>
        </w:tc>
        <w:tc>
          <w:tcPr>
            <w:tcW w:w="640" w:type="dxa"/>
            <w:shd w:val="clear" w:color="auto" w:fill="F3F3F3"/>
            <w:vAlign w:val="center"/>
          </w:tcPr>
          <w:p w:rsidR="009E459C" w:rsidRPr="00FC7A12" w:rsidRDefault="009E459C" w:rsidP="00101B95">
            <w:pPr>
              <w:jc w:val="center"/>
              <w:rPr>
                <w:b/>
                <w:lang w:val="sl-SI"/>
              </w:rPr>
            </w:pPr>
            <w:r w:rsidRPr="00FC7A12">
              <w:rPr>
                <w:b/>
                <w:lang w:val="sl-SI"/>
              </w:rPr>
              <w:t>32</w:t>
            </w:r>
          </w:p>
        </w:tc>
        <w:tc>
          <w:tcPr>
            <w:tcW w:w="562" w:type="dxa"/>
            <w:shd w:val="clear" w:color="auto" w:fill="F3F3F3"/>
            <w:vAlign w:val="center"/>
          </w:tcPr>
          <w:p w:rsidR="009E459C" w:rsidRPr="00FC7A12" w:rsidRDefault="009E459C" w:rsidP="00101B95">
            <w:pPr>
              <w:jc w:val="center"/>
              <w:rPr>
                <w:b/>
                <w:lang w:val="sl-SI"/>
              </w:rPr>
            </w:pPr>
            <w:r w:rsidRPr="00FC7A12">
              <w:rPr>
                <w:b/>
                <w:lang w:val="sl-SI"/>
              </w:rPr>
              <w:t>9</w:t>
            </w:r>
          </w:p>
        </w:tc>
        <w:tc>
          <w:tcPr>
            <w:tcW w:w="502" w:type="dxa"/>
            <w:shd w:val="clear" w:color="auto" w:fill="F3F3F3"/>
            <w:vAlign w:val="center"/>
          </w:tcPr>
          <w:p w:rsidR="009E459C" w:rsidRPr="00FC7A12" w:rsidRDefault="009E459C" w:rsidP="00101B95">
            <w:pPr>
              <w:jc w:val="center"/>
              <w:rPr>
                <w:b/>
                <w:lang w:val="sl-SI"/>
              </w:rPr>
            </w:pPr>
            <w:r w:rsidRPr="00FC7A12">
              <w:rPr>
                <w:b/>
                <w:lang w:val="sl-SI"/>
              </w:rPr>
              <w:t>49</w:t>
            </w:r>
          </w:p>
        </w:tc>
        <w:tc>
          <w:tcPr>
            <w:tcW w:w="535" w:type="dxa"/>
            <w:shd w:val="clear" w:color="auto" w:fill="F3F3F3"/>
            <w:vAlign w:val="center"/>
          </w:tcPr>
          <w:p w:rsidR="009E459C" w:rsidRPr="00FC7A12" w:rsidRDefault="009E459C" w:rsidP="00101B95">
            <w:pPr>
              <w:jc w:val="center"/>
              <w:rPr>
                <w:b/>
                <w:lang w:val="sl-SI"/>
              </w:rPr>
            </w:pPr>
            <w:r w:rsidRPr="00FC7A12">
              <w:rPr>
                <w:b/>
                <w:lang w:val="sl-SI"/>
              </w:rPr>
              <w:t>20</w:t>
            </w:r>
          </w:p>
        </w:tc>
      </w:tr>
      <w:tr w:rsidR="009E459C" w:rsidRPr="00FC7A12" w:rsidTr="00101B95">
        <w:trPr>
          <w:trHeight w:val="301"/>
        </w:trPr>
        <w:tc>
          <w:tcPr>
            <w:tcW w:w="590" w:type="dxa"/>
            <w:vAlign w:val="center"/>
          </w:tcPr>
          <w:p w:rsidR="009E459C" w:rsidRPr="00FC7A12" w:rsidRDefault="009E459C" w:rsidP="00101B95">
            <w:pPr>
              <w:jc w:val="center"/>
              <w:rPr>
                <w:b/>
                <w:lang w:val="sl-SI"/>
              </w:rPr>
            </w:pPr>
            <w:r w:rsidRPr="00FC7A12">
              <w:rPr>
                <w:b/>
                <w:lang w:val="sl-SI"/>
              </w:rPr>
              <w:t>11</w:t>
            </w:r>
          </w:p>
        </w:tc>
        <w:tc>
          <w:tcPr>
            <w:tcW w:w="2279" w:type="dxa"/>
            <w:vAlign w:val="center"/>
          </w:tcPr>
          <w:p w:rsidR="009E459C" w:rsidRPr="00FC7A12" w:rsidRDefault="009E459C" w:rsidP="00101B95">
            <w:pPr>
              <w:rPr>
                <w:b/>
                <w:lang w:val="sl-SI"/>
              </w:rPr>
            </w:pPr>
            <w:r w:rsidRPr="00FC7A12">
              <w:rPr>
                <w:b/>
                <w:lang w:val="sl-SI"/>
              </w:rPr>
              <w:t>Nije intervenisalo</w:t>
            </w:r>
          </w:p>
        </w:tc>
        <w:tc>
          <w:tcPr>
            <w:tcW w:w="525" w:type="dxa"/>
            <w:shd w:val="clear" w:color="auto" w:fill="F3F3F3"/>
            <w:vAlign w:val="center"/>
          </w:tcPr>
          <w:p w:rsidR="009E459C" w:rsidRPr="00FC7A12" w:rsidRDefault="009E459C" w:rsidP="00101B95">
            <w:pPr>
              <w:jc w:val="center"/>
              <w:rPr>
                <w:b/>
                <w:lang w:val="sl-SI"/>
              </w:rPr>
            </w:pPr>
            <w:r w:rsidRPr="00FC7A12">
              <w:rPr>
                <w:b/>
                <w:lang w:val="sl-SI"/>
              </w:rPr>
              <w:t>6</w:t>
            </w:r>
          </w:p>
        </w:tc>
        <w:tc>
          <w:tcPr>
            <w:tcW w:w="556" w:type="dxa"/>
            <w:shd w:val="clear" w:color="auto" w:fill="F3F3F3"/>
            <w:vAlign w:val="center"/>
          </w:tcPr>
          <w:p w:rsidR="009E459C" w:rsidRPr="00FC7A12" w:rsidRDefault="009E459C" w:rsidP="00101B95">
            <w:pPr>
              <w:jc w:val="center"/>
              <w:rPr>
                <w:b/>
                <w:lang w:val="sl-SI"/>
              </w:rPr>
            </w:pPr>
            <w:r w:rsidRPr="00FC7A12">
              <w:rPr>
                <w:b/>
                <w:lang w:val="sl-SI"/>
              </w:rPr>
              <w:t>8</w:t>
            </w:r>
          </w:p>
        </w:tc>
        <w:tc>
          <w:tcPr>
            <w:tcW w:w="594" w:type="dxa"/>
            <w:shd w:val="clear" w:color="auto" w:fill="F3F3F3"/>
            <w:vAlign w:val="center"/>
          </w:tcPr>
          <w:p w:rsidR="009E459C" w:rsidRPr="00FC7A12" w:rsidRDefault="009E459C" w:rsidP="00101B95">
            <w:pPr>
              <w:jc w:val="center"/>
              <w:rPr>
                <w:b/>
                <w:lang w:val="sl-SI"/>
              </w:rPr>
            </w:pPr>
            <w:r w:rsidRPr="00FC7A12">
              <w:rPr>
                <w:b/>
                <w:lang w:val="sl-SI"/>
              </w:rPr>
              <w:t>1</w:t>
            </w:r>
          </w:p>
        </w:tc>
        <w:tc>
          <w:tcPr>
            <w:tcW w:w="540" w:type="dxa"/>
            <w:shd w:val="clear" w:color="auto" w:fill="F3F3F3"/>
            <w:vAlign w:val="center"/>
          </w:tcPr>
          <w:p w:rsidR="009E459C" w:rsidRPr="00FC7A12" w:rsidRDefault="009E459C" w:rsidP="00101B95">
            <w:pPr>
              <w:jc w:val="center"/>
              <w:rPr>
                <w:b/>
                <w:lang w:val="sl-SI"/>
              </w:rPr>
            </w:pPr>
            <w:r w:rsidRPr="00FC7A12">
              <w:rPr>
                <w:b/>
                <w:lang w:val="sl-SI"/>
              </w:rPr>
              <w:t>2</w:t>
            </w:r>
          </w:p>
        </w:tc>
        <w:tc>
          <w:tcPr>
            <w:tcW w:w="537" w:type="dxa"/>
            <w:shd w:val="clear" w:color="auto" w:fill="F3F3F3"/>
            <w:vAlign w:val="center"/>
          </w:tcPr>
          <w:p w:rsidR="009E459C" w:rsidRPr="00FC7A12" w:rsidRDefault="009E459C" w:rsidP="00101B95">
            <w:pPr>
              <w:jc w:val="center"/>
              <w:rPr>
                <w:b/>
                <w:lang w:val="sl-SI"/>
              </w:rPr>
            </w:pPr>
            <w:r w:rsidRPr="00FC7A12">
              <w:rPr>
                <w:b/>
                <w:lang w:val="sl-SI"/>
              </w:rPr>
              <w:t>2</w:t>
            </w:r>
          </w:p>
        </w:tc>
        <w:tc>
          <w:tcPr>
            <w:tcW w:w="549" w:type="dxa"/>
            <w:shd w:val="clear" w:color="auto" w:fill="F3F3F3"/>
            <w:vAlign w:val="center"/>
          </w:tcPr>
          <w:p w:rsidR="009E459C" w:rsidRPr="00FC7A12" w:rsidRDefault="009E459C" w:rsidP="00101B95">
            <w:pPr>
              <w:jc w:val="center"/>
              <w:rPr>
                <w:b/>
                <w:lang w:val="sl-SI"/>
              </w:rPr>
            </w:pPr>
            <w:r w:rsidRPr="00FC7A12">
              <w:rPr>
                <w:b/>
                <w:lang w:val="sl-SI"/>
              </w:rPr>
              <w:t>1</w:t>
            </w:r>
          </w:p>
        </w:tc>
        <w:tc>
          <w:tcPr>
            <w:tcW w:w="637" w:type="dxa"/>
            <w:shd w:val="clear" w:color="auto" w:fill="F3F3F3"/>
            <w:vAlign w:val="center"/>
          </w:tcPr>
          <w:p w:rsidR="009E459C" w:rsidRPr="00FC7A12" w:rsidRDefault="009E459C" w:rsidP="00101B95">
            <w:pPr>
              <w:jc w:val="center"/>
              <w:rPr>
                <w:b/>
                <w:lang w:val="sl-SI"/>
              </w:rPr>
            </w:pPr>
            <w:r w:rsidRPr="00FC7A12">
              <w:rPr>
                <w:b/>
                <w:lang w:val="sl-SI"/>
              </w:rPr>
              <w:t>1</w:t>
            </w:r>
          </w:p>
        </w:tc>
        <w:tc>
          <w:tcPr>
            <w:tcW w:w="624" w:type="dxa"/>
            <w:shd w:val="clear" w:color="auto" w:fill="F3F3F3"/>
            <w:vAlign w:val="center"/>
          </w:tcPr>
          <w:p w:rsidR="009E459C" w:rsidRPr="00FC7A12" w:rsidRDefault="009E459C" w:rsidP="00101B95">
            <w:pPr>
              <w:jc w:val="center"/>
              <w:rPr>
                <w:b/>
                <w:lang w:val="sl-SI"/>
              </w:rPr>
            </w:pPr>
            <w:r w:rsidRPr="00FC7A12">
              <w:rPr>
                <w:b/>
                <w:lang w:val="sl-SI"/>
              </w:rPr>
              <w:t>1</w:t>
            </w:r>
          </w:p>
        </w:tc>
        <w:tc>
          <w:tcPr>
            <w:tcW w:w="640" w:type="dxa"/>
            <w:shd w:val="clear" w:color="auto" w:fill="F3F3F3"/>
            <w:vAlign w:val="center"/>
          </w:tcPr>
          <w:p w:rsidR="009E459C" w:rsidRPr="00FC7A12" w:rsidRDefault="009E459C" w:rsidP="00101B95">
            <w:pPr>
              <w:jc w:val="center"/>
              <w:rPr>
                <w:b/>
                <w:lang w:val="sl-SI"/>
              </w:rPr>
            </w:pPr>
            <w:r w:rsidRPr="00FC7A12">
              <w:rPr>
                <w:b/>
                <w:lang w:val="sl-SI"/>
              </w:rPr>
              <w:t>1</w:t>
            </w:r>
          </w:p>
        </w:tc>
        <w:tc>
          <w:tcPr>
            <w:tcW w:w="562" w:type="dxa"/>
            <w:shd w:val="clear" w:color="auto" w:fill="F3F3F3"/>
            <w:vAlign w:val="center"/>
          </w:tcPr>
          <w:p w:rsidR="009E459C" w:rsidRPr="00FC7A12" w:rsidRDefault="009E459C" w:rsidP="00101B95">
            <w:pPr>
              <w:jc w:val="center"/>
              <w:rPr>
                <w:b/>
                <w:lang w:val="sl-SI"/>
              </w:rPr>
            </w:pPr>
            <w:r w:rsidRPr="00FC7A12">
              <w:rPr>
                <w:b/>
                <w:lang w:val="sl-SI"/>
              </w:rPr>
              <w:t>0</w:t>
            </w:r>
          </w:p>
        </w:tc>
        <w:tc>
          <w:tcPr>
            <w:tcW w:w="502" w:type="dxa"/>
            <w:shd w:val="clear" w:color="auto" w:fill="F3F3F3"/>
            <w:vAlign w:val="center"/>
          </w:tcPr>
          <w:p w:rsidR="009E459C" w:rsidRPr="00FC7A12" w:rsidRDefault="009E459C" w:rsidP="00101B95">
            <w:pPr>
              <w:jc w:val="center"/>
              <w:rPr>
                <w:b/>
                <w:lang w:val="sl-SI"/>
              </w:rPr>
            </w:pPr>
            <w:r w:rsidRPr="00FC7A12">
              <w:rPr>
                <w:b/>
                <w:lang w:val="sl-SI"/>
              </w:rPr>
              <w:t>1</w:t>
            </w:r>
          </w:p>
        </w:tc>
        <w:tc>
          <w:tcPr>
            <w:tcW w:w="535" w:type="dxa"/>
            <w:shd w:val="clear" w:color="auto" w:fill="F3F3F3"/>
            <w:vAlign w:val="center"/>
          </w:tcPr>
          <w:p w:rsidR="009E459C" w:rsidRPr="00FC7A12" w:rsidRDefault="009E459C" w:rsidP="00101B95">
            <w:pPr>
              <w:jc w:val="center"/>
              <w:rPr>
                <w:b/>
                <w:lang w:val="sl-SI"/>
              </w:rPr>
            </w:pPr>
            <w:r w:rsidRPr="00FC7A12">
              <w:rPr>
                <w:b/>
                <w:lang w:val="sl-SI"/>
              </w:rPr>
              <w:t>3</w:t>
            </w:r>
          </w:p>
        </w:tc>
      </w:tr>
      <w:tr w:rsidR="009E459C" w:rsidRPr="00FC7A12" w:rsidTr="00101B95">
        <w:trPr>
          <w:trHeight w:val="301"/>
        </w:trPr>
        <w:tc>
          <w:tcPr>
            <w:tcW w:w="590" w:type="dxa"/>
            <w:vAlign w:val="center"/>
          </w:tcPr>
          <w:p w:rsidR="009E459C" w:rsidRPr="00FC7A12" w:rsidRDefault="009E459C" w:rsidP="00101B95">
            <w:pPr>
              <w:jc w:val="center"/>
              <w:rPr>
                <w:b/>
                <w:lang w:val="sl-SI"/>
              </w:rPr>
            </w:pPr>
            <w:r w:rsidRPr="00FC7A12">
              <w:rPr>
                <w:b/>
                <w:lang w:val="sl-SI"/>
              </w:rPr>
              <w:t>12</w:t>
            </w:r>
          </w:p>
        </w:tc>
        <w:tc>
          <w:tcPr>
            <w:tcW w:w="2279" w:type="dxa"/>
            <w:vAlign w:val="center"/>
          </w:tcPr>
          <w:p w:rsidR="009E459C" w:rsidRPr="00FC7A12" w:rsidRDefault="009E459C" w:rsidP="00101B95">
            <w:pPr>
              <w:rPr>
                <w:b/>
                <w:lang w:val="sl-SI"/>
              </w:rPr>
            </w:pPr>
            <w:r w:rsidRPr="00FC7A12">
              <w:rPr>
                <w:b/>
                <w:lang w:val="sl-SI"/>
              </w:rPr>
              <w:t>Lažna dojava</w:t>
            </w:r>
          </w:p>
        </w:tc>
        <w:tc>
          <w:tcPr>
            <w:tcW w:w="525" w:type="dxa"/>
            <w:shd w:val="clear" w:color="auto" w:fill="F3F3F3"/>
            <w:vAlign w:val="center"/>
          </w:tcPr>
          <w:p w:rsidR="009E459C" w:rsidRPr="00FC7A12" w:rsidRDefault="009E459C" w:rsidP="00101B95">
            <w:pPr>
              <w:jc w:val="center"/>
              <w:rPr>
                <w:b/>
                <w:lang w:val="sl-SI"/>
              </w:rPr>
            </w:pPr>
            <w:r w:rsidRPr="00FC7A12">
              <w:rPr>
                <w:b/>
                <w:lang w:val="sl-SI"/>
              </w:rPr>
              <w:t>0</w:t>
            </w:r>
          </w:p>
        </w:tc>
        <w:tc>
          <w:tcPr>
            <w:tcW w:w="556" w:type="dxa"/>
            <w:shd w:val="clear" w:color="auto" w:fill="F3F3F3"/>
            <w:vAlign w:val="center"/>
          </w:tcPr>
          <w:p w:rsidR="009E459C" w:rsidRPr="00FC7A12" w:rsidRDefault="009E459C" w:rsidP="00101B95">
            <w:pPr>
              <w:jc w:val="center"/>
              <w:rPr>
                <w:b/>
                <w:lang w:val="sl-SI"/>
              </w:rPr>
            </w:pPr>
            <w:r w:rsidRPr="00FC7A12">
              <w:rPr>
                <w:b/>
                <w:lang w:val="sl-SI"/>
              </w:rPr>
              <w:t>0</w:t>
            </w:r>
          </w:p>
        </w:tc>
        <w:tc>
          <w:tcPr>
            <w:tcW w:w="594" w:type="dxa"/>
            <w:shd w:val="clear" w:color="auto" w:fill="F3F3F3"/>
            <w:vAlign w:val="center"/>
          </w:tcPr>
          <w:p w:rsidR="009E459C" w:rsidRPr="00FC7A12" w:rsidRDefault="009E459C" w:rsidP="00101B95">
            <w:pPr>
              <w:jc w:val="center"/>
              <w:rPr>
                <w:b/>
                <w:lang w:val="sl-SI"/>
              </w:rPr>
            </w:pPr>
            <w:r w:rsidRPr="00FC7A12">
              <w:rPr>
                <w:b/>
                <w:lang w:val="sl-SI"/>
              </w:rPr>
              <w:t>0</w:t>
            </w:r>
          </w:p>
        </w:tc>
        <w:tc>
          <w:tcPr>
            <w:tcW w:w="540" w:type="dxa"/>
            <w:shd w:val="clear" w:color="auto" w:fill="F3F3F3"/>
            <w:vAlign w:val="center"/>
          </w:tcPr>
          <w:p w:rsidR="009E459C" w:rsidRPr="00FC7A12" w:rsidRDefault="009E459C" w:rsidP="00101B95">
            <w:pPr>
              <w:jc w:val="center"/>
              <w:rPr>
                <w:b/>
                <w:lang w:val="sl-SI"/>
              </w:rPr>
            </w:pPr>
            <w:r w:rsidRPr="00FC7A12">
              <w:rPr>
                <w:b/>
                <w:lang w:val="sl-SI"/>
              </w:rPr>
              <w:t>0</w:t>
            </w:r>
          </w:p>
        </w:tc>
        <w:tc>
          <w:tcPr>
            <w:tcW w:w="537" w:type="dxa"/>
            <w:shd w:val="clear" w:color="auto" w:fill="F3F3F3"/>
            <w:vAlign w:val="center"/>
          </w:tcPr>
          <w:p w:rsidR="009E459C" w:rsidRPr="00FC7A12" w:rsidRDefault="009E459C" w:rsidP="00101B95">
            <w:pPr>
              <w:jc w:val="center"/>
              <w:rPr>
                <w:b/>
                <w:lang w:val="sl-SI"/>
              </w:rPr>
            </w:pPr>
            <w:r w:rsidRPr="00FC7A12">
              <w:rPr>
                <w:b/>
                <w:lang w:val="sl-SI"/>
              </w:rPr>
              <w:t>1</w:t>
            </w:r>
          </w:p>
        </w:tc>
        <w:tc>
          <w:tcPr>
            <w:tcW w:w="549" w:type="dxa"/>
            <w:shd w:val="clear" w:color="auto" w:fill="F3F3F3"/>
            <w:vAlign w:val="center"/>
          </w:tcPr>
          <w:p w:rsidR="009E459C" w:rsidRPr="00FC7A12" w:rsidRDefault="009E459C" w:rsidP="00101B95">
            <w:pPr>
              <w:jc w:val="center"/>
              <w:rPr>
                <w:b/>
                <w:lang w:val="sl-SI"/>
              </w:rPr>
            </w:pPr>
            <w:r w:rsidRPr="00FC7A12">
              <w:rPr>
                <w:b/>
                <w:lang w:val="sl-SI"/>
              </w:rPr>
              <w:t>0</w:t>
            </w:r>
          </w:p>
        </w:tc>
        <w:tc>
          <w:tcPr>
            <w:tcW w:w="637" w:type="dxa"/>
            <w:shd w:val="clear" w:color="auto" w:fill="F3F3F3"/>
            <w:vAlign w:val="center"/>
          </w:tcPr>
          <w:p w:rsidR="009E459C" w:rsidRPr="00FC7A12" w:rsidRDefault="009E459C" w:rsidP="00101B95">
            <w:pPr>
              <w:jc w:val="center"/>
              <w:rPr>
                <w:b/>
                <w:lang w:val="sl-SI"/>
              </w:rPr>
            </w:pPr>
            <w:r w:rsidRPr="00FC7A12">
              <w:rPr>
                <w:b/>
                <w:lang w:val="sl-SI"/>
              </w:rPr>
              <w:t>0</w:t>
            </w:r>
          </w:p>
        </w:tc>
        <w:tc>
          <w:tcPr>
            <w:tcW w:w="624" w:type="dxa"/>
            <w:shd w:val="clear" w:color="auto" w:fill="F3F3F3"/>
            <w:vAlign w:val="center"/>
          </w:tcPr>
          <w:p w:rsidR="009E459C" w:rsidRPr="00FC7A12" w:rsidRDefault="009E459C" w:rsidP="00101B95">
            <w:pPr>
              <w:jc w:val="center"/>
              <w:rPr>
                <w:b/>
                <w:lang w:val="sl-SI"/>
              </w:rPr>
            </w:pPr>
            <w:r w:rsidRPr="00FC7A12">
              <w:rPr>
                <w:b/>
                <w:lang w:val="sl-SI"/>
              </w:rPr>
              <w:t>0</w:t>
            </w:r>
          </w:p>
        </w:tc>
        <w:tc>
          <w:tcPr>
            <w:tcW w:w="640" w:type="dxa"/>
            <w:shd w:val="clear" w:color="auto" w:fill="F3F3F3"/>
            <w:vAlign w:val="center"/>
          </w:tcPr>
          <w:p w:rsidR="009E459C" w:rsidRPr="00FC7A12" w:rsidRDefault="009E459C" w:rsidP="00101B95">
            <w:pPr>
              <w:jc w:val="center"/>
              <w:rPr>
                <w:b/>
                <w:lang w:val="sl-SI"/>
              </w:rPr>
            </w:pPr>
            <w:r w:rsidRPr="00FC7A12">
              <w:rPr>
                <w:b/>
                <w:lang w:val="sl-SI"/>
              </w:rPr>
              <w:t>0</w:t>
            </w:r>
          </w:p>
        </w:tc>
        <w:tc>
          <w:tcPr>
            <w:tcW w:w="562" w:type="dxa"/>
            <w:shd w:val="clear" w:color="auto" w:fill="F3F3F3"/>
            <w:vAlign w:val="center"/>
          </w:tcPr>
          <w:p w:rsidR="009E459C" w:rsidRPr="00FC7A12" w:rsidRDefault="009E459C" w:rsidP="00101B95">
            <w:pPr>
              <w:jc w:val="center"/>
              <w:rPr>
                <w:b/>
                <w:lang w:val="sl-SI"/>
              </w:rPr>
            </w:pPr>
            <w:r w:rsidRPr="00FC7A12">
              <w:rPr>
                <w:b/>
                <w:lang w:val="sl-SI"/>
              </w:rPr>
              <w:t>0</w:t>
            </w:r>
          </w:p>
        </w:tc>
        <w:tc>
          <w:tcPr>
            <w:tcW w:w="502" w:type="dxa"/>
            <w:shd w:val="clear" w:color="auto" w:fill="F3F3F3"/>
            <w:vAlign w:val="center"/>
          </w:tcPr>
          <w:p w:rsidR="009E459C" w:rsidRPr="00FC7A12" w:rsidRDefault="009E459C" w:rsidP="00101B95">
            <w:pPr>
              <w:jc w:val="center"/>
              <w:rPr>
                <w:b/>
                <w:lang w:val="sl-SI"/>
              </w:rPr>
            </w:pPr>
            <w:r w:rsidRPr="00FC7A12">
              <w:rPr>
                <w:b/>
                <w:lang w:val="sl-SI"/>
              </w:rPr>
              <w:t>0</w:t>
            </w:r>
          </w:p>
        </w:tc>
        <w:tc>
          <w:tcPr>
            <w:tcW w:w="535" w:type="dxa"/>
            <w:shd w:val="clear" w:color="auto" w:fill="F3F3F3"/>
            <w:vAlign w:val="center"/>
          </w:tcPr>
          <w:p w:rsidR="009E459C" w:rsidRPr="00FC7A12" w:rsidRDefault="009E459C" w:rsidP="00101B95">
            <w:pPr>
              <w:jc w:val="center"/>
              <w:rPr>
                <w:b/>
                <w:lang w:val="sl-SI"/>
              </w:rPr>
            </w:pPr>
            <w:r w:rsidRPr="00FC7A12">
              <w:rPr>
                <w:b/>
                <w:lang w:val="sl-SI"/>
              </w:rPr>
              <w:t>0</w:t>
            </w:r>
          </w:p>
        </w:tc>
      </w:tr>
      <w:tr w:rsidR="009E459C" w:rsidRPr="00FC7A12" w:rsidTr="00101B95">
        <w:trPr>
          <w:trHeight w:val="317"/>
        </w:trPr>
        <w:tc>
          <w:tcPr>
            <w:tcW w:w="590" w:type="dxa"/>
            <w:shd w:val="clear" w:color="auto" w:fill="C0C0C0"/>
            <w:vAlign w:val="center"/>
          </w:tcPr>
          <w:p w:rsidR="009E459C" w:rsidRPr="00FC7A12" w:rsidRDefault="009E459C" w:rsidP="00101B95">
            <w:pPr>
              <w:jc w:val="center"/>
              <w:rPr>
                <w:b/>
                <w:lang w:val="sl-SI"/>
              </w:rPr>
            </w:pPr>
          </w:p>
        </w:tc>
        <w:tc>
          <w:tcPr>
            <w:tcW w:w="2279" w:type="dxa"/>
            <w:shd w:val="clear" w:color="auto" w:fill="C0C0C0"/>
            <w:vAlign w:val="center"/>
          </w:tcPr>
          <w:p w:rsidR="009E459C" w:rsidRPr="00FC7A12" w:rsidRDefault="009E459C" w:rsidP="00101B95">
            <w:pPr>
              <w:jc w:val="right"/>
              <w:rPr>
                <w:b/>
                <w:lang w:val="sl-SI"/>
              </w:rPr>
            </w:pPr>
            <w:r w:rsidRPr="00FC7A12">
              <w:rPr>
                <w:b/>
                <w:lang w:val="sl-SI"/>
              </w:rPr>
              <w:t>UKUPNO</w:t>
            </w:r>
          </w:p>
        </w:tc>
        <w:tc>
          <w:tcPr>
            <w:tcW w:w="525" w:type="dxa"/>
            <w:shd w:val="clear" w:color="auto" w:fill="C0C0C0"/>
            <w:vAlign w:val="center"/>
          </w:tcPr>
          <w:p w:rsidR="009E459C" w:rsidRPr="00FC7A12" w:rsidRDefault="009E459C" w:rsidP="00101B95">
            <w:pPr>
              <w:jc w:val="center"/>
              <w:rPr>
                <w:b/>
                <w:lang w:val="sl-SI"/>
              </w:rPr>
            </w:pPr>
            <w:r w:rsidRPr="00FC7A12">
              <w:rPr>
                <w:b/>
                <w:lang w:val="sl-SI"/>
              </w:rPr>
              <w:t>94</w:t>
            </w:r>
          </w:p>
        </w:tc>
        <w:tc>
          <w:tcPr>
            <w:tcW w:w="556" w:type="dxa"/>
            <w:shd w:val="clear" w:color="auto" w:fill="C0C0C0"/>
            <w:vAlign w:val="center"/>
          </w:tcPr>
          <w:p w:rsidR="009E459C" w:rsidRPr="00FC7A12" w:rsidRDefault="009E459C" w:rsidP="00101B95">
            <w:pPr>
              <w:jc w:val="center"/>
              <w:rPr>
                <w:b/>
                <w:lang w:val="sl-SI"/>
              </w:rPr>
            </w:pPr>
            <w:r w:rsidRPr="00FC7A12">
              <w:rPr>
                <w:b/>
                <w:lang w:val="sl-SI"/>
              </w:rPr>
              <w:t>97</w:t>
            </w:r>
          </w:p>
        </w:tc>
        <w:tc>
          <w:tcPr>
            <w:tcW w:w="594" w:type="dxa"/>
            <w:shd w:val="clear" w:color="auto" w:fill="C0C0C0"/>
            <w:vAlign w:val="center"/>
          </w:tcPr>
          <w:p w:rsidR="009E459C" w:rsidRPr="00FC7A12" w:rsidRDefault="009E459C" w:rsidP="00101B95">
            <w:pPr>
              <w:jc w:val="center"/>
              <w:rPr>
                <w:b/>
                <w:lang w:val="sl-SI"/>
              </w:rPr>
            </w:pPr>
            <w:r w:rsidRPr="00FC7A12">
              <w:rPr>
                <w:b/>
                <w:lang w:val="sl-SI"/>
              </w:rPr>
              <w:t>65</w:t>
            </w:r>
          </w:p>
        </w:tc>
        <w:tc>
          <w:tcPr>
            <w:tcW w:w="540" w:type="dxa"/>
            <w:shd w:val="clear" w:color="auto" w:fill="C0C0C0"/>
            <w:vAlign w:val="center"/>
          </w:tcPr>
          <w:p w:rsidR="009E459C" w:rsidRPr="00FC7A12" w:rsidRDefault="009E459C" w:rsidP="00101B95">
            <w:pPr>
              <w:jc w:val="center"/>
              <w:rPr>
                <w:b/>
                <w:lang w:val="sl-SI"/>
              </w:rPr>
            </w:pPr>
            <w:r w:rsidRPr="00FC7A12">
              <w:rPr>
                <w:b/>
                <w:lang w:val="sl-SI"/>
              </w:rPr>
              <w:t>98</w:t>
            </w:r>
          </w:p>
        </w:tc>
        <w:tc>
          <w:tcPr>
            <w:tcW w:w="537" w:type="dxa"/>
            <w:shd w:val="clear" w:color="auto" w:fill="C0C0C0"/>
            <w:vAlign w:val="center"/>
          </w:tcPr>
          <w:p w:rsidR="009E459C" w:rsidRPr="00FC7A12" w:rsidRDefault="009E459C" w:rsidP="00101B95">
            <w:pPr>
              <w:jc w:val="center"/>
              <w:rPr>
                <w:b/>
                <w:lang w:val="sl-SI"/>
              </w:rPr>
            </w:pPr>
            <w:r w:rsidRPr="00FC7A12">
              <w:rPr>
                <w:b/>
                <w:lang w:val="sl-SI"/>
              </w:rPr>
              <w:t>41</w:t>
            </w:r>
          </w:p>
        </w:tc>
        <w:tc>
          <w:tcPr>
            <w:tcW w:w="549" w:type="dxa"/>
            <w:shd w:val="clear" w:color="auto" w:fill="C0C0C0"/>
            <w:vAlign w:val="center"/>
          </w:tcPr>
          <w:p w:rsidR="009E459C" w:rsidRPr="00FC7A12" w:rsidRDefault="009E459C" w:rsidP="00101B95">
            <w:pPr>
              <w:jc w:val="center"/>
              <w:rPr>
                <w:b/>
                <w:lang w:val="sl-SI"/>
              </w:rPr>
            </w:pPr>
            <w:r w:rsidRPr="00FC7A12">
              <w:rPr>
                <w:b/>
                <w:lang w:val="sl-SI"/>
              </w:rPr>
              <w:t>48</w:t>
            </w:r>
          </w:p>
        </w:tc>
        <w:tc>
          <w:tcPr>
            <w:tcW w:w="637" w:type="dxa"/>
            <w:shd w:val="clear" w:color="auto" w:fill="C0C0C0"/>
            <w:vAlign w:val="center"/>
          </w:tcPr>
          <w:p w:rsidR="009E459C" w:rsidRPr="00FC7A12" w:rsidRDefault="009E459C" w:rsidP="00101B95">
            <w:pPr>
              <w:jc w:val="center"/>
              <w:rPr>
                <w:b/>
                <w:lang w:val="sl-SI"/>
              </w:rPr>
            </w:pPr>
            <w:r w:rsidRPr="00FC7A12">
              <w:rPr>
                <w:b/>
                <w:lang w:val="sl-SI"/>
              </w:rPr>
              <w:t>145</w:t>
            </w:r>
          </w:p>
        </w:tc>
        <w:tc>
          <w:tcPr>
            <w:tcW w:w="624" w:type="dxa"/>
            <w:shd w:val="clear" w:color="auto" w:fill="C0C0C0"/>
            <w:vAlign w:val="center"/>
          </w:tcPr>
          <w:p w:rsidR="009E459C" w:rsidRPr="00FC7A12" w:rsidRDefault="009E459C" w:rsidP="00101B95">
            <w:pPr>
              <w:jc w:val="center"/>
              <w:rPr>
                <w:b/>
                <w:lang w:val="sl-SI"/>
              </w:rPr>
            </w:pPr>
            <w:r w:rsidRPr="00FC7A12">
              <w:rPr>
                <w:b/>
                <w:lang w:val="sl-SI"/>
              </w:rPr>
              <w:t>93</w:t>
            </w:r>
          </w:p>
        </w:tc>
        <w:tc>
          <w:tcPr>
            <w:tcW w:w="640" w:type="dxa"/>
            <w:shd w:val="clear" w:color="auto" w:fill="C0C0C0"/>
            <w:vAlign w:val="center"/>
          </w:tcPr>
          <w:p w:rsidR="009E459C" w:rsidRPr="00FC7A12" w:rsidRDefault="009E459C" w:rsidP="00101B95">
            <w:pPr>
              <w:jc w:val="center"/>
              <w:rPr>
                <w:b/>
                <w:lang w:val="sl-SI"/>
              </w:rPr>
            </w:pPr>
            <w:r w:rsidRPr="00FC7A12">
              <w:rPr>
                <w:b/>
                <w:lang w:val="sl-SI"/>
              </w:rPr>
              <w:t>105</w:t>
            </w:r>
          </w:p>
        </w:tc>
        <w:tc>
          <w:tcPr>
            <w:tcW w:w="562" w:type="dxa"/>
            <w:shd w:val="clear" w:color="auto" w:fill="C0C0C0"/>
            <w:vAlign w:val="center"/>
          </w:tcPr>
          <w:p w:rsidR="009E459C" w:rsidRPr="00FC7A12" w:rsidRDefault="009E459C" w:rsidP="00101B95">
            <w:pPr>
              <w:jc w:val="center"/>
              <w:rPr>
                <w:b/>
                <w:lang w:val="sl-SI"/>
              </w:rPr>
            </w:pPr>
            <w:r w:rsidRPr="00FC7A12">
              <w:rPr>
                <w:b/>
                <w:lang w:val="sl-SI"/>
              </w:rPr>
              <w:t>34</w:t>
            </w:r>
          </w:p>
        </w:tc>
        <w:tc>
          <w:tcPr>
            <w:tcW w:w="502" w:type="dxa"/>
            <w:shd w:val="clear" w:color="auto" w:fill="C0C0C0"/>
            <w:vAlign w:val="center"/>
          </w:tcPr>
          <w:p w:rsidR="009E459C" w:rsidRPr="00FC7A12" w:rsidRDefault="009E459C" w:rsidP="00101B95">
            <w:pPr>
              <w:jc w:val="center"/>
              <w:rPr>
                <w:b/>
                <w:lang w:val="sl-SI"/>
              </w:rPr>
            </w:pPr>
            <w:r w:rsidRPr="00FC7A12">
              <w:rPr>
                <w:b/>
                <w:lang w:val="sl-SI"/>
              </w:rPr>
              <w:t>83</w:t>
            </w:r>
          </w:p>
        </w:tc>
        <w:tc>
          <w:tcPr>
            <w:tcW w:w="535" w:type="dxa"/>
            <w:shd w:val="clear" w:color="auto" w:fill="C0C0C0"/>
            <w:vAlign w:val="center"/>
          </w:tcPr>
          <w:p w:rsidR="009E459C" w:rsidRPr="00FC7A12" w:rsidRDefault="009E459C" w:rsidP="00101B95">
            <w:pPr>
              <w:jc w:val="center"/>
              <w:rPr>
                <w:b/>
                <w:lang w:val="sl-SI"/>
              </w:rPr>
            </w:pPr>
            <w:r w:rsidRPr="00FC7A12">
              <w:rPr>
                <w:b/>
                <w:lang w:val="sl-SI"/>
              </w:rPr>
              <w:t>51</w:t>
            </w:r>
          </w:p>
        </w:tc>
      </w:tr>
    </w:tbl>
    <w:p w:rsidR="009E459C" w:rsidRPr="00FC7A12" w:rsidRDefault="009E459C" w:rsidP="009E459C">
      <w:pPr>
        <w:jc w:val="both"/>
        <w:rPr>
          <w:lang w:val="sl-SI"/>
        </w:rPr>
      </w:pPr>
    </w:p>
    <w:p w:rsidR="009E459C" w:rsidRPr="00FC7A12" w:rsidRDefault="009E459C" w:rsidP="009E459C">
      <w:pPr>
        <w:jc w:val="both"/>
      </w:pPr>
    </w:p>
    <w:p w:rsidR="009E459C" w:rsidRPr="00FC7A12" w:rsidRDefault="009E459C" w:rsidP="009E459C">
      <w:pPr>
        <w:ind w:firstLine="720"/>
        <w:jc w:val="both"/>
        <w:rPr>
          <w:lang w:val="sl-SI"/>
        </w:rPr>
      </w:pPr>
      <w:r w:rsidRPr="00FC7A12">
        <w:rPr>
          <w:lang w:val="sl-SI"/>
        </w:rPr>
        <w:t xml:space="preserve">Na teritoriji opštine Nikšić u 2020. godini kada su u pitanju požari bilo je ukupno 678 intervencija što predstavlja povećanje u odnosu na 2019. godinu (99 intervencija). Razlog ovome treba tražiti u činjenici da  su bile lošije hidrometeorološke prilike u mjesecima van požarne sezone dok je taj broj požara u ljetnjoj požarnoj sezoni bio manje više uobičajen. </w:t>
      </w:r>
    </w:p>
    <w:p w:rsidR="009E459C" w:rsidRPr="00FC7A12" w:rsidRDefault="009E459C" w:rsidP="009E459C">
      <w:pPr>
        <w:jc w:val="both"/>
        <w:rPr>
          <w:lang w:val="sl-SI"/>
        </w:rPr>
      </w:pPr>
    </w:p>
    <w:p w:rsidR="009E459C" w:rsidRPr="00FC7A12" w:rsidRDefault="009E459C" w:rsidP="009E459C">
      <w:pPr>
        <w:jc w:val="both"/>
        <w:rPr>
          <w:i/>
          <w:lang w:val="sl-SI"/>
        </w:rPr>
      </w:pPr>
      <w:r w:rsidRPr="00FC7A12">
        <w:rPr>
          <w:b/>
          <w:lang w:val="sl-SI"/>
        </w:rPr>
        <w:t>Tabela 2:</w:t>
      </w:r>
      <w:r w:rsidRPr="00FC7A12">
        <w:rPr>
          <w:lang w:val="sl-SI"/>
        </w:rPr>
        <w:t xml:space="preserve"> </w:t>
      </w:r>
      <w:r w:rsidRPr="00FC7A12">
        <w:rPr>
          <w:i/>
          <w:lang w:val="sl-SI"/>
        </w:rPr>
        <w:t>Požari - pregled intervencija za period 2010-2020</w:t>
      </w:r>
    </w:p>
    <w:p w:rsidR="009E459C" w:rsidRPr="00FC7A12" w:rsidRDefault="009E459C" w:rsidP="009E459C">
      <w:pPr>
        <w:jc w:val="both"/>
        <w:rPr>
          <w:lang w:val="sl-SI"/>
        </w:rPr>
      </w:pP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1806"/>
        <w:gridCol w:w="688"/>
        <w:gridCol w:w="688"/>
        <w:gridCol w:w="688"/>
        <w:gridCol w:w="688"/>
        <w:gridCol w:w="688"/>
        <w:gridCol w:w="688"/>
        <w:gridCol w:w="688"/>
        <w:gridCol w:w="688"/>
        <w:gridCol w:w="688"/>
        <w:gridCol w:w="688"/>
        <w:gridCol w:w="688"/>
      </w:tblGrid>
      <w:tr w:rsidR="009E459C" w:rsidRPr="00FC7A12" w:rsidTr="00101B95">
        <w:trPr>
          <w:trHeight w:val="312"/>
        </w:trPr>
        <w:tc>
          <w:tcPr>
            <w:tcW w:w="416" w:type="dxa"/>
            <w:shd w:val="clear" w:color="auto" w:fill="E6E6E6"/>
            <w:vAlign w:val="center"/>
          </w:tcPr>
          <w:p w:rsidR="009E459C" w:rsidRPr="00FC7A12" w:rsidRDefault="009E459C" w:rsidP="00101B95">
            <w:pPr>
              <w:jc w:val="center"/>
              <w:rPr>
                <w:b/>
                <w:lang w:val="sl-SI"/>
              </w:rPr>
            </w:pPr>
            <w:r w:rsidRPr="00FC7A12">
              <w:rPr>
                <w:b/>
                <w:lang w:val="sl-SI"/>
              </w:rPr>
              <w:t>Br.</w:t>
            </w:r>
          </w:p>
        </w:tc>
        <w:tc>
          <w:tcPr>
            <w:tcW w:w="1806" w:type="dxa"/>
            <w:shd w:val="clear" w:color="auto" w:fill="E6E6E6"/>
            <w:vAlign w:val="center"/>
          </w:tcPr>
          <w:p w:rsidR="009E459C" w:rsidRPr="00FC7A12" w:rsidRDefault="009E459C" w:rsidP="00101B95">
            <w:pPr>
              <w:jc w:val="center"/>
              <w:rPr>
                <w:b/>
                <w:lang w:val="sl-SI"/>
              </w:rPr>
            </w:pPr>
            <w:r w:rsidRPr="00FC7A12">
              <w:rPr>
                <w:b/>
                <w:lang w:val="sl-SI"/>
              </w:rPr>
              <w:t>Vrsta intervencije</w:t>
            </w:r>
          </w:p>
        </w:tc>
        <w:tc>
          <w:tcPr>
            <w:tcW w:w="688" w:type="dxa"/>
            <w:shd w:val="clear" w:color="auto" w:fill="E6E6E6"/>
            <w:vAlign w:val="center"/>
          </w:tcPr>
          <w:p w:rsidR="009E459C" w:rsidRPr="00FC7A12" w:rsidRDefault="009E459C" w:rsidP="00101B95">
            <w:pPr>
              <w:jc w:val="center"/>
              <w:rPr>
                <w:b/>
                <w:lang w:val="sl-SI"/>
              </w:rPr>
            </w:pPr>
            <w:r w:rsidRPr="00FC7A12">
              <w:rPr>
                <w:b/>
                <w:lang w:val="sl-SI"/>
              </w:rPr>
              <w:t>2010</w:t>
            </w:r>
          </w:p>
        </w:tc>
        <w:tc>
          <w:tcPr>
            <w:tcW w:w="688" w:type="dxa"/>
            <w:shd w:val="clear" w:color="auto" w:fill="E6E6E6"/>
            <w:vAlign w:val="center"/>
          </w:tcPr>
          <w:p w:rsidR="009E459C" w:rsidRPr="00FC7A12" w:rsidRDefault="009E459C" w:rsidP="00101B95">
            <w:pPr>
              <w:jc w:val="center"/>
              <w:rPr>
                <w:b/>
                <w:lang w:val="sl-SI"/>
              </w:rPr>
            </w:pPr>
            <w:r w:rsidRPr="00FC7A12">
              <w:rPr>
                <w:b/>
                <w:lang w:val="sl-SI"/>
              </w:rPr>
              <w:t>2011</w:t>
            </w:r>
          </w:p>
        </w:tc>
        <w:tc>
          <w:tcPr>
            <w:tcW w:w="688" w:type="dxa"/>
            <w:shd w:val="clear" w:color="auto" w:fill="E6E6E6"/>
            <w:vAlign w:val="center"/>
          </w:tcPr>
          <w:p w:rsidR="009E459C" w:rsidRPr="00FC7A12" w:rsidRDefault="009E459C" w:rsidP="00101B95">
            <w:pPr>
              <w:jc w:val="center"/>
              <w:rPr>
                <w:b/>
                <w:lang w:val="sl-SI"/>
              </w:rPr>
            </w:pPr>
            <w:r w:rsidRPr="00FC7A12">
              <w:rPr>
                <w:b/>
                <w:lang w:val="sl-SI"/>
              </w:rPr>
              <w:t>2012</w:t>
            </w:r>
          </w:p>
        </w:tc>
        <w:tc>
          <w:tcPr>
            <w:tcW w:w="688" w:type="dxa"/>
            <w:shd w:val="clear" w:color="auto" w:fill="E6E6E6"/>
            <w:vAlign w:val="center"/>
          </w:tcPr>
          <w:p w:rsidR="009E459C" w:rsidRPr="00FC7A12" w:rsidRDefault="009E459C" w:rsidP="00101B95">
            <w:pPr>
              <w:jc w:val="center"/>
              <w:rPr>
                <w:b/>
                <w:lang w:val="sl-SI"/>
              </w:rPr>
            </w:pPr>
            <w:r w:rsidRPr="00FC7A12">
              <w:rPr>
                <w:b/>
                <w:lang w:val="sl-SI"/>
              </w:rPr>
              <w:t>2013</w:t>
            </w:r>
          </w:p>
        </w:tc>
        <w:tc>
          <w:tcPr>
            <w:tcW w:w="688" w:type="dxa"/>
            <w:shd w:val="clear" w:color="auto" w:fill="E6E6E6"/>
            <w:vAlign w:val="center"/>
          </w:tcPr>
          <w:p w:rsidR="009E459C" w:rsidRPr="00FC7A12" w:rsidRDefault="009E459C" w:rsidP="00101B95">
            <w:pPr>
              <w:jc w:val="center"/>
              <w:rPr>
                <w:b/>
                <w:lang w:val="sl-SI"/>
              </w:rPr>
            </w:pPr>
            <w:r w:rsidRPr="00FC7A12">
              <w:rPr>
                <w:b/>
                <w:lang w:val="sl-SI"/>
              </w:rPr>
              <w:t>2014</w:t>
            </w:r>
          </w:p>
        </w:tc>
        <w:tc>
          <w:tcPr>
            <w:tcW w:w="688" w:type="dxa"/>
            <w:shd w:val="clear" w:color="auto" w:fill="E6E6E6"/>
            <w:vAlign w:val="center"/>
          </w:tcPr>
          <w:p w:rsidR="009E459C" w:rsidRPr="00FC7A12" w:rsidRDefault="009E459C" w:rsidP="00101B95">
            <w:pPr>
              <w:jc w:val="center"/>
              <w:rPr>
                <w:b/>
                <w:lang w:val="sl-SI"/>
              </w:rPr>
            </w:pPr>
            <w:r w:rsidRPr="00FC7A12">
              <w:rPr>
                <w:b/>
                <w:lang w:val="sl-SI"/>
              </w:rPr>
              <w:t>2015</w:t>
            </w:r>
          </w:p>
        </w:tc>
        <w:tc>
          <w:tcPr>
            <w:tcW w:w="688" w:type="dxa"/>
            <w:shd w:val="clear" w:color="auto" w:fill="E6E6E6"/>
            <w:vAlign w:val="center"/>
          </w:tcPr>
          <w:p w:rsidR="009E459C" w:rsidRPr="00FC7A12" w:rsidRDefault="009E459C" w:rsidP="00101B95">
            <w:pPr>
              <w:jc w:val="center"/>
              <w:rPr>
                <w:b/>
                <w:lang w:val="sl-SI"/>
              </w:rPr>
            </w:pPr>
            <w:r w:rsidRPr="00FC7A12">
              <w:rPr>
                <w:b/>
                <w:lang w:val="sl-SI"/>
              </w:rPr>
              <w:t>2016</w:t>
            </w:r>
          </w:p>
        </w:tc>
        <w:tc>
          <w:tcPr>
            <w:tcW w:w="688" w:type="dxa"/>
            <w:shd w:val="clear" w:color="auto" w:fill="E6E6E6"/>
            <w:vAlign w:val="center"/>
          </w:tcPr>
          <w:p w:rsidR="009E459C" w:rsidRPr="00FC7A12" w:rsidRDefault="009E459C" w:rsidP="00101B95">
            <w:pPr>
              <w:jc w:val="center"/>
              <w:rPr>
                <w:b/>
                <w:lang w:val="sl-SI"/>
              </w:rPr>
            </w:pPr>
            <w:r w:rsidRPr="00FC7A12">
              <w:rPr>
                <w:b/>
                <w:lang w:val="sl-SI"/>
              </w:rPr>
              <w:t>2017</w:t>
            </w:r>
          </w:p>
        </w:tc>
        <w:tc>
          <w:tcPr>
            <w:tcW w:w="688" w:type="dxa"/>
            <w:shd w:val="clear" w:color="auto" w:fill="E6E6E6"/>
            <w:vAlign w:val="center"/>
          </w:tcPr>
          <w:p w:rsidR="009E459C" w:rsidRPr="00FC7A12" w:rsidRDefault="009E459C" w:rsidP="00101B95">
            <w:pPr>
              <w:jc w:val="center"/>
              <w:rPr>
                <w:b/>
                <w:lang w:val="sl-SI"/>
              </w:rPr>
            </w:pPr>
            <w:r w:rsidRPr="00FC7A12">
              <w:rPr>
                <w:b/>
                <w:lang w:val="sl-SI"/>
              </w:rPr>
              <w:t>2018</w:t>
            </w:r>
          </w:p>
        </w:tc>
        <w:tc>
          <w:tcPr>
            <w:tcW w:w="688" w:type="dxa"/>
            <w:shd w:val="clear" w:color="auto" w:fill="E6E6E6"/>
            <w:vAlign w:val="center"/>
          </w:tcPr>
          <w:p w:rsidR="009E459C" w:rsidRPr="00FC7A12" w:rsidRDefault="009E459C" w:rsidP="00101B95">
            <w:pPr>
              <w:jc w:val="center"/>
              <w:rPr>
                <w:b/>
                <w:lang w:val="sl-SI"/>
              </w:rPr>
            </w:pPr>
            <w:r w:rsidRPr="00FC7A12">
              <w:rPr>
                <w:b/>
                <w:lang w:val="sl-SI"/>
              </w:rPr>
              <w:t>2019</w:t>
            </w:r>
          </w:p>
        </w:tc>
        <w:tc>
          <w:tcPr>
            <w:tcW w:w="688" w:type="dxa"/>
            <w:shd w:val="clear" w:color="auto" w:fill="E6E6E6"/>
            <w:vAlign w:val="center"/>
          </w:tcPr>
          <w:p w:rsidR="009E459C" w:rsidRPr="00FC7A12" w:rsidRDefault="009E459C" w:rsidP="00101B95">
            <w:pPr>
              <w:jc w:val="center"/>
              <w:rPr>
                <w:b/>
                <w:lang w:val="sl-SI"/>
              </w:rPr>
            </w:pPr>
            <w:r w:rsidRPr="00FC7A12">
              <w:rPr>
                <w:b/>
                <w:lang w:val="sl-SI"/>
              </w:rPr>
              <w:t>2020</w:t>
            </w:r>
          </w:p>
        </w:tc>
      </w:tr>
      <w:tr w:rsidR="009E459C" w:rsidRPr="00FC7A12" w:rsidTr="00101B95">
        <w:trPr>
          <w:trHeight w:val="312"/>
        </w:trPr>
        <w:tc>
          <w:tcPr>
            <w:tcW w:w="416" w:type="dxa"/>
            <w:vAlign w:val="center"/>
          </w:tcPr>
          <w:p w:rsidR="009E459C" w:rsidRPr="00FC7A12" w:rsidRDefault="009E459C" w:rsidP="00101B95">
            <w:pPr>
              <w:jc w:val="center"/>
              <w:rPr>
                <w:lang w:val="sl-SI"/>
              </w:rPr>
            </w:pPr>
            <w:r w:rsidRPr="00FC7A12">
              <w:rPr>
                <w:lang w:val="sl-SI"/>
              </w:rPr>
              <w:t>1</w:t>
            </w:r>
          </w:p>
        </w:tc>
        <w:tc>
          <w:tcPr>
            <w:tcW w:w="1806" w:type="dxa"/>
            <w:vAlign w:val="center"/>
          </w:tcPr>
          <w:p w:rsidR="009E459C" w:rsidRPr="00FC7A12" w:rsidRDefault="009E459C" w:rsidP="00101B95">
            <w:pPr>
              <w:rPr>
                <w:lang w:val="sl-SI"/>
              </w:rPr>
            </w:pPr>
            <w:r w:rsidRPr="00FC7A12">
              <w:rPr>
                <w:lang w:val="sl-SI"/>
              </w:rPr>
              <w:t>Stambeni objekti</w:t>
            </w:r>
          </w:p>
        </w:tc>
        <w:tc>
          <w:tcPr>
            <w:tcW w:w="688" w:type="dxa"/>
            <w:vAlign w:val="center"/>
          </w:tcPr>
          <w:p w:rsidR="009E459C" w:rsidRPr="00FC7A12" w:rsidRDefault="009E459C" w:rsidP="00101B95">
            <w:pPr>
              <w:jc w:val="center"/>
              <w:rPr>
                <w:lang w:val="sl-SI"/>
              </w:rPr>
            </w:pPr>
            <w:r w:rsidRPr="00FC7A12">
              <w:rPr>
                <w:lang w:val="sl-SI"/>
              </w:rPr>
              <w:t>60</w:t>
            </w:r>
          </w:p>
        </w:tc>
        <w:tc>
          <w:tcPr>
            <w:tcW w:w="688" w:type="dxa"/>
            <w:vAlign w:val="center"/>
          </w:tcPr>
          <w:p w:rsidR="009E459C" w:rsidRPr="00FC7A12" w:rsidRDefault="009E459C" w:rsidP="00101B95">
            <w:pPr>
              <w:jc w:val="center"/>
              <w:rPr>
                <w:lang w:val="sl-SI"/>
              </w:rPr>
            </w:pPr>
            <w:r w:rsidRPr="00FC7A12">
              <w:rPr>
                <w:lang w:val="sl-SI"/>
              </w:rPr>
              <w:t>65</w:t>
            </w:r>
          </w:p>
        </w:tc>
        <w:tc>
          <w:tcPr>
            <w:tcW w:w="688" w:type="dxa"/>
            <w:vAlign w:val="center"/>
          </w:tcPr>
          <w:p w:rsidR="009E459C" w:rsidRPr="00FC7A12" w:rsidRDefault="009E459C" w:rsidP="00101B95">
            <w:pPr>
              <w:jc w:val="center"/>
              <w:rPr>
                <w:lang w:val="sl-SI"/>
              </w:rPr>
            </w:pPr>
            <w:r w:rsidRPr="00FC7A12">
              <w:rPr>
                <w:lang w:val="sl-SI"/>
              </w:rPr>
              <w:t>68</w:t>
            </w:r>
          </w:p>
        </w:tc>
        <w:tc>
          <w:tcPr>
            <w:tcW w:w="688" w:type="dxa"/>
            <w:vAlign w:val="center"/>
          </w:tcPr>
          <w:p w:rsidR="009E459C" w:rsidRPr="00FC7A12" w:rsidRDefault="009E459C" w:rsidP="00101B95">
            <w:pPr>
              <w:jc w:val="center"/>
              <w:rPr>
                <w:lang w:val="sl-SI"/>
              </w:rPr>
            </w:pPr>
            <w:r w:rsidRPr="00FC7A12">
              <w:rPr>
                <w:lang w:val="sl-SI"/>
              </w:rPr>
              <w:t>70</w:t>
            </w:r>
          </w:p>
        </w:tc>
        <w:tc>
          <w:tcPr>
            <w:tcW w:w="688" w:type="dxa"/>
            <w:vAlign w:val="center"/>
          </w:tcPr>
          <w:p w:rsidR="009E459C" w:rsidRPr="00FC7A12" w:rsidRDefault="009E459C" w:rsidP="00101B95">
            <w:pPr>
              <w:jc w:val="center"/>
              <w:rPr>
                <w:lang w:val="sl-SI"/>
              </w:rPr>
            </w:pPr>
            <w:r w:rsidRPr="00FC7A12">
              <w:rPr>
                <w:lang w:val="sl-SI"/>
              </w:rPr>
              <w:t>73</w:t>
            </w:r>
          </w:p>
        </w:tc>
        <w:tc>
          <w:tcPr>
            <w:tcW w:w="688" w:type="dxa"/>
            <w:vAlign w:val="center"/>
          </w:tcPr>
          <w:p w:rsidR="009E459C" w:rsidRPr="00FC7A12" w:rsidRDefault="009E459C" w:rsidP="00101B95">
            <w:pPr>
              <w:jc w:val="center"/>
              <w:rPr>
                <w:lang w:val="sl-SI"/>
              </w:rPr>
            </w:pPr>
            <w:r w:rsidRPr="00FC7A12">
              <w:rPr>
                <w:lang w:val="sl-SI"/>
              </w:rPr>
              <w:t>103</w:t>
            </w:r>
          </w:p>
        </w:tc>
        <w:tc>
          <w:tcPr>
            <w:tcW w:w="688" w:type="dxa"/>
            <w:vAlign w:val="center"/>
          </w:tcPr>
          <w:p w:rsidR="009E459C" w:rsidRPr="00FC7A12" w:rsidRDefault="009E459C" w:rsidP="00101B95">
            <w:pPr>
              <w:jc w:val="center"/>
              <w:rPr>
                <w:lang w:val="sl-SI"/>
              </w:rPr>
            </w:pPr>
            <w:r w:rsidRPr="00FC7A12">
              <w:rPr>
                <w:lang w:val="sl-SI"/>
              </w:rPr>
              <w:t>80</w:t>
            </w:r>
          </w:p>
        </w:tc>
        <w:tc>
          <w:tcPr>
            <w:tcW w:w="688" w:type="dxa"/>
            <w:vAlign w:val="center"/>
          </w:tcPr>
          <w:p w:rsidR="009E459C" w:rsidRPr="00FC7A12" w:rsidRDefault="009E459C" w:rsidP="00101B95">
            <w:pPr>
              <w:jc w:val="center"/>
              <w:rPr>
                <w:lang w:val="sl-SI"/>
              </w:rPr>
            </w:pPr>
            <w:r w:rsidRPr="00FC7A12">
              <w:rPr>
                <w:lang w:val="sl-SI"/>
              </w:rPr>
              <w:t>80</w:t>
            </w:r>
          </w:p>
        </w:tc>
        <w:tc>
          <w:tcPr>
            <w:tcW w:w="688" w:type="dxa"/>
            <w:vAlign w:val="center"/>
          </w:tcPr>
          <w:p w:rsidR="009E459C" w:rsidRPr="00FC7A12" w:rsidRDefault="009E459C" w:rsidP="00101B95">
            <w:pPr>
              <w:jc w:val="center"/>
              <w:rPr>
                <w:lang w:val="sl-SI"/>
              </w:rPr>
            </w:pPr>
            <w:r w:rsidRPr="00FC7A12">
              <w:rPr>
                <w:lang w:val="sl-SI"/>
              </w:rPr>
              <w:t>69</w:t>
            </w:r>
          </w:p>
        </w:tc>
        <w:tc>
          <w:tcPr>
            <w:tcW w:w="688" w:type="dxa"/>
            <w:vAlign w:val="center"/>
          </w:tcPr>
          <w:p w:rsidR="009E459C" w:rsidRPr="00FC7A12" w:rsidRDefault="009E459C" w:rsidP="00101B95">
            <w:pPr>
              <w:jc w:val="center"/>
              <w:rPr>
                <w:lang w:val="sl-SI"/>
              </w:rPr>
            </w:pPr>
            <w:r w:rsidRPr="00FC7A12">
              <w:rPr>
                <w:lang w:val="sl-SI"/>
              </w:rPr>
              <w:t>94</w:t>
            </w:r>
          </w:p>
        </w:tc>
        <w:tc>
          <w:tcPr>
            <w:tcW w:w="688" w:type="dxa"/>
            <w:vAlign w:val="center"/>
          </w:tcPr>
          <w:p w:rsidR="009E459C" w:rsidRPr="00FC7A12" w:rsidRDefault="009E459C" w:rsidP="00101B95">
            <w:pPr>
              <w:jc w:val="center"/>
              <w:rPr>
                <w:lang w:val="sl-SI"/>
              </w:rPr>
            </w:pPr>
            <w:r w:rsidRPr="00FC7A12">
              <w:rPr>
                <w:lang w:val="sl-SI"/>
              </w:rPr>
              <w:t>106</w:t>
            </w:r>
          </w:p>
        </w:tc>
      </w:tr>
      <w:tr w:rsidR="009E459C" w:rsidRPr="00FC7A12" w:rsidTr="00101B95">
        <w:trPr>
          <w:trHeight w:val="327"/>
        </w:trPr>
        <w:tc>
          <w:tcPr>
            <w:tcW w:w="416" w:type="dxa"/>
            <w:vAlign w:val="center"/>
          </w:tcPr>
          <w:p w:rsidR="009E459C" w:rsidRPr="00FC7A12" w:rsidRDefault="009E459C" w:rsidP="00101B95">
            <w:pPr>
              <w:jc w:val="center"/>
              <w:rPr>
                <w:lang w:val="sl-SI"/>
              </w:rPr>
            </w:pPr>
            <w:r w:rsidRPr="00FC7A12">
              <w:rPr>
                <w:lang w:val="sl-SI"/>
              </w:rPr>
              <w:t>2</w:t>
            </w:r>
          </w:p>
        </w:tc>
        <w:tc>
          <w:tcPr>
            <w:tcW w:w="1806" w:type="dxa"/>
            <w:vAlign w:val="center"/>
          </w:tcPr>
          <w:p w:rsidR="009E459C" w:rsidRPr="00FC7A12" w:rsidRDefault="009E459C" w:rsidP="00101B95">
            <w:pPr>
              <w:rPr>
                <w:lang w:val="sl-SI"/>
              </w:rPr>
            </w:pPr>
            <w:r w:rsidRPr="00FC7A12">
              <w:rPr>
                <w:lang w:val="sl-SI"/>
              </w:rPr>
              <w:t>Industrijski obje.</w:t>
            </w:r>
          </w:p>
        </w:tc>
        <w:tc>
          <w:tcPr>
            <w:tcW w:w="688" w:type="dxa"/>
            <w:vAlign w:val="center"/>
          </w:tcPr>
          <w:p w:rsidR="009E459C" w:rsidRPr="00FC7A12" w:rsidRDefault="009E459C" w:rsidP="00101B95">
            <w:pPr>
              <w:jc w:val="center"/>
              <w:rPr>
                <w:lang w:val="sl-SI"/>
              </w:rPr>
            </w:pPr>
            <w:r w:rsidRPr="00FC7A12">
              <w:rPr>
                <w:lang w:val="sl-SI"/>
              </w:rPr>
              <w:t>5</w:t>
            </w:r>
          </w:p>
        </w:tc>
        <w:tc>
          <w:tcPr>
            <w:tcW w:w="688" w:type="dxa"/>
            <w:vAlign w:val="center"/>
          </w:tcPr>
          <w:p w:rsidR="009E459C" w:rsidRPr="00FC7A12" w:rsidRDefault="009E459C" w:rsidP="00101B95">
            <w:pPr>
              <w:jc w:val="center"/>
              <w:rPr>
                <w:lang w:val="sl-SI"/>
              </w:rPr>
            </w:pPr>
            <w:r w:rsidRPr="00FC7A12">
              <w:rPr>
                <w:lang w:val="sl-SI"/>
              </w:rPr>
              <w:t>2</w:t>
            </w:r>
          </w:p>
        </w:tc>
        <w:tc>
          <w:tcPr>
            <w:tcW w:w="688" w:type="dxa"/>
            <w:vAlign w:val="center"/>
          </w:tcPr>
          <w:p w:rsidR="009E459C" w:rsidRPr="00FC7A12" w:rsidRDefault="009E459C" w:rsidP="00101B95">
            <w:pPr>
              <w:jc w:val="center"/>
              <w:rPr>
                <w:lang w:val="sl-SI"/>
              </w:rPr>
            </w:pPr>
            <w:r w:rsidRPr="00FC7A12">
              <w:rPr>
                <w:lang w:val="sl-SI"/>
              </w:rPr>
              <w:t>7</w:t>
            </w:r>
          </w:p>
        </w:tc>
        <w:tc>
          <w:tcPr>
            <w:tcW w:w="688" w:type="dxa"/>
            <w:vAlign w:val="center"/>
          </w:tcPr>
          <w:p w:rsidR="009E459C" w:rsidRPr="00FC7A12" w:rsidRDefault="009E459C" w:rsidP="00101B95">
            <w:pPr>
              <w:jc w:val="center"/>
              <w:rPr>
                <w:lang w:val="sl-SI"/>
              </w:rPr>
            </w:pPr>
            <w:r w:rsidRPr="00FC7A12">
              <w:rPr>
                <w:lang w:val="sl-SI"/>
              </w:rPr>
              <w:t>6</w:t>
            </w:r>
          </w:p>
        </w:tc>
        <w:tc>
          <w:tcPr>
            <w:tcW w:w="688" w:type="dxa"/>
            <w:vAlign w:val="center"/>
          </w:tcPr>
          <w:p w:rsidR="009E459C" w:rsidRPr="00FC7A12" w:rsidRDefault="009E459C" w:rsidP="00101B95">
            <w:pPr>
              <w:jc w:val="center"/>
              <w:rPr>
                <w:lang w:val="sl-SI"/>
              </w:rPr>
            </w:pPr>
            <w:r w:rsidRPr="00FC7A12">
              <w:rPr>
                <w:lang w:val="sl-SI"/>
              </w:rPr>
              <w:t>8</w:t>
            </w:r>
          </w:p>
        </w:tc>
        <w:tc>
          <w:tcPr>
            <w:tcW w:w="688" w:type="dxa"/>
            <w:vAlign w:val="center"/>
          </w:tcPr>
          <w:p w:rsidR="009E459C" w:rsidRPr="00FC7A12" w:rsidRDefault="009E459C" w:rsidP="00101B95">
            <w:pPr>
              <w:jc w:val="center"/>
              <w:rPr>
                <w:lang w:val="sl-SI"/>
              </w:rPr>
            </w:pPr>
            <w:r w:rsidRPr="00FC7A12">
              <w:rPr>
                <w:lang w:val="sl-SI"/>
              </w:rPr>
              <w:t>6</w:t>
            </w:r>
          </w:p>
        </w:tc>
        <w:tc>
          <w:tcPr>
            <w:tcW w:w="688" w:type="dxa"/>
            <w:vAlign w:val="center"/>
          </w:tcPr>
          <w:p w:rsidR="009E459C" w:rsidRPr="00FC7A12" w:rsidRDefault="009E459C" w:rsidP="00101B95">
            <w:pPr>
              <w:jc w:val="center"/>
              <w:rPr>
                <w:lang w:val="sl-SI"/>
              </w:rPr>
            </w:pPr>
            <w:r w:rsidRPr="00FC7A12">
              <w:rPr>
                <w:lang w:val="sl-SI"/>
              </w:rPr>
              <w:t>1</w:t>
            </w:r>
          </w:p>
        </w:tc>
        <w:tc>
          <w:tcPr>
            <w:tcW w:w="688" w:type="dxa"/>
            <w:vAlign w:val="center"/>
          </w:tcPr>
          <w:p w:rsidR="009E459C" w:rsidRPr="00FC7A12" w:rsidRDefault="009E459C" w:rsidP="00101B95">
            <w:pPr>
              <w:jc w:val="center"/>
              <w:rPr>
                <w:lang w:val="sl-SI"/>
              </w:rPr>
            </w:pPr>
            <w:r w:rsidRPr="00FC7A12">
              <w:rPr>
                <w:lang w:val="sl-SI"/>
              </w:rPr>
              <w:t>4</w:t>
            </w:r>
          </w:p>
        </w:tc>
        <w:tc>
          <w:tcPr>
            <w:tcW w:w="688" w:type="dxa"/>
            <w:vAlign w:val="center"/>
          </w:tcPr>
          <w:p w:rsidR="009E459C" w:rsidRPr="00FC7A12" w:rsidRDefault="009E459C" w:rsidP="00101B95">
            <w:pPr>
              <w:jc w:val="center"/>
              <w:rPr>
                <w:lang w:val="sl-SI"/>
              </w:rPr>
            </w:pPr>
            <w:r w:rsidRPr="00FC7A12">
              <w:rPr>
                <w:lang w:val="sl-SI"/>
              </w:rPr>
              <w:t>5</w:t>
            </w:r>
          </w:p>
        </w:tc>
        <w:tc>
          <w:tcPr>
            <w:tcW w:w="688" w:type="dxa"/>
            <w:vAlign w:val="center"/>
          </w:tcPr>
          <w:p w:rsidR="009E459C" w:rsidRPr="00FC7A12" w:rsidRDefault="009E459C" w:rsidP="00101B95">
            <w:pPr>
              <w:jc w:val="center"/>
              <w:rPr>
                <w:lang w:val="sl-SI"/>
              </w:rPr>
            </w:pPr>
            <w:r w:rsidRPr="00FC7A12">
              <w:rPr>
                <w:lang w:val="sl-SI"/>
              </w:rPr>
              <w:t>4</w:t>
            </w:r>
          </w:p>
        </w:tc>
        <w:tc>
          <w:tcPr>
            <w:tcW w:w="688" w:type="dxa"/>
            <w:vAlign w:val="center"/>
          </w:tcPr>
          <w:p w:rsidR="009E459C" w:rsidRPr="00FC7A12" w:rsidRDefault="009E459C" w:rsidP="00101B95">
            <w:pPr>
              <w:jc w:val="center"/>
              <w:rPr>
                <w:lang w:val="sl-SI"/>
              </w:rPr>
            </w:pPr>
            <w:r w:rsidRPr="00FC7A12">
              <w:rPr>
                <w:lang w:val="sl-SI"/>
              </w:rPr>
              <w:t>2</w:t>
            </w:r>
          </w:p>
        </w:tc>
      </w:tr>
      <w:tr w:rsidR="009E459C" w:rsidRPr="00FC7A12" w:rsidTr="00101B95">
        <w:trPr>
          <w:trHeight w:val="312"/>
        </w:trPr>
        <w:tc>
          <w:tcPr>
            <w:tcW w:w="416" w:type="dxa"/>
            <w:vAlign w:val="center"/>
          </w:tcPr>
          <w:p w:rsidR="009E459C" w:rsidRPr="00FC7A12" w:rsidRDefault="009E459C" w:rsidP="00101B95">
            <w:pPr>
              <w:jc w:val="center"/>
              <w:rPr>
                <w:lang w:val="sl-SI"/>
              </w:rPr>
            </w:pPr>
            <w:r w:rsidRPr="00FC7A12">
              <w:rPr>
                <w:lang w:val="sl-SI"/>
              </w:rPr>
              <w:t>3</w:t>
            </w:r>
          </w:p>
        </w:tc>
        <w:tc>
          <w:tcPr>
            <w:tcW w:w="1806" w:type="dxa"/>
            <w:vAlign w:val="center"/>
          </w:tcPr>
          <w:p w:rsidR="009E459C" w:rsidRPr="00FC7A12" w:rsidRDefault="009E459C" w:rsidP="00101B95">
            <w:pPr>
              <w:rPr>
                <w:lang w:val="sl-SI"/>
              </w:rPr>
            </w:pPr>
            <w:r w:rsidRPr="00FC7A12">
              <w:rPr>
                <w:lang w:val="sl-SI"/>
              </w:rPr>
              <w:t>Javni objekti</w:t>
            </w:r>
          </w:p>
        </w:tc>
        <w:tc>
          <w:tcPr>
            <w:tcW w:w="688" w:type="dxa"/>
            <w:vAlign w:val="center"/>
          </w:tcPr>
          <w:p w:rsidR="009E459C" w:rsidRPr="00FC7A12" w:rsidRDefault="009E459C" w:rsidP="00101B95">
            <w:pPr>
              <w:jc w:val="center"/>
              <w:rPr>
                <w:lang w:val="sl-SI"/>
              </w:rPr>
            </w:pPr>
            <w:r w:rsidRPr="00FC7A12">
              <w:rPr>
                <w:lang w:val="sl-SI"/>
              </w:rPr>
              <w:t>7</w:t>
            </w:r>
          </w:p>
        </w:tc>
        <w:tc>
          <w:tcPr>
            <w:tcW w:w="688" w:type="dxa"/>
            <w:vAlign w:val="center"/>
          </w:tcPr>
          <w:p w:rsidR="009E459C" w:rsidRPr="00FC7A12" w:rsidRDefault="009E459C" w:rsidP="00101B95">
            <w:pPr>
              <w:jc w:val="center"/>
              <w:rPr>
                <w:lang w:val="sl-SI"/>
              </w:rPr>
            </w:pPr>
            <w:r w:rsidRPr="00FC7A12">
              <w:rPr>
                <w:lang w:val="sl-SI"/>
              </w:rPr>
              <w:t>15</w:t>
            </w:r>
          </w:p>
        </w:tc>
        <w:tc>
          <w:tcPr>
            <w:tcW w:w="688" w:type="dxa"/>
            <w:vAlign w:val="center"/>
          </w:tcPr>
          <w:p w:rsidR="009E459C" w:rsidRPr="00FC7A12" w:rsidRDefault="009E459C" w:rsidP="00101B95">
            <w:pPr>
              <w:jc w:val="center"/>
              <w:rPr>
                <w:lang w:val="sl-SI"/>
              </w:rPr>
            </w:pPr>
            <w:r w:rsidRPr="00FC7A12">
              <w:rPr>
                <w:lang w:val="sl-SI"/>
              </w:rPr>
              <w:t>6</w:t>
            </w:r>
          </w:p>
        </w:tc>
        <w:tc>
          <w:tcPr>
            <w:tcW w:w="688" w:type="dxa"/>
            <w:vAlign w:val="center"/>
          </w:tcPr>
          <w:p w:rsidR="009E459C" w:rsidRPr="00FC7A12" w:rsidRDefault="009E459C" w:rsidP="00101B95">
            <w:pPr>
              <w:jc w:val="center"/>
              <w:rPr>
                <w:lang w:val="sl-SI"/>
              </w:rPr>
            </w:pPr>
            <w:r w:rsidRPr="00FC7A12">
              <w:rPr>
                <w:lang w:val="sl-SI"/>
              </w:rPr>
              <w:t>6</w:t>
            </w:r>
          </w:p>
        </w:tc>
        <w:tc>
          <w:tcPr>
            <w:tcW w:w="688" w:type="dxa"/>
            <w:vAlign w:val="center"/>
          </w:tcPr>
          <w:p w:rsidR="009E459C" w:rsidRPr="00FC7A12" w:rsidRDefault="009E459C" w:rsidP="00101B95">
            <w:pPr>
              <w:jc w:val="center"/>
              <w:rPr>
                <w:lang w:val="sl-SI"/>
              </w:rPr>
            </w:pPr>
            <w:r w:rsidRPr="00FC7A12">
              <w:rPr>
                <w:lang w:val="sl-SI"/>
              </w:rPr>
              <w:t>1</w:t>
            </w:r>
          </w:p>
        </w:tc>
        <w:tc>
          <w:tcPr>
            <w:tcW w:w="688" w:type="dxa"/>
            <w:vAlign w:val="center"/>
          </w:tcPr>
          <w:p w:rsidR="009E459C" w:rsidRPr="00FC7A12" w:rsidRDefault="009E459C" w:rsidP="00101B95">
            <w:pPr>
              <w:jc w:val="center"/>
              <w:rPr>
                <w:lang w:val="sl-SI"/>
              </w:rPr>
            </w:pPr>
            <w:r w:rsidRPr="00FC7A12">
              <w:rPr>
                <w:lang w:val="sl-SI"/>
              </w:rPr>
              <w:t>0</w:t>
            </w:r>
          </w:p>
        </w:tc>
        <w:tc>
          <w:tcPr>
            <w:tcW w:w="688" w:type="dxa"/>
            <w:vAlign w:val="center"/>
          </w:tcPr>
          <w:p w:rsidR="009E459C" w:rsidRPr="00FC7A12" w:rsidRDefault="009E459C" w:rsidP="00101B95">
            <w:pPr>
              <w:jc w:val="center"/>
              <w:rPr>
                <w:lang w:val="sl-SI"/>
              </w:rPr>
            </w:pPr>
            <w:r w:rsidRPr="00FC7A12">
              <w:rPr>
                <w:lang w:val="sl-SI"/>
              </w:rPr>
              <w:t>0</w:t>
            </w:r>
          </w:p>
        </w:tc>
        <w:tc>
          <w:tcPr>
            <w:tcW w:w="688" w:type="dxa"/>
            <w:vAlign w:val="center"/>
          </w:tcPr>
          <w:p w:rsidR="009E459C" w:rsidRPr="00FC7A12" w:rsidRDefault="009E459C" w:rsidP="00101B95">
            <w:pPr>
              <w:jc w:val="center"/>
              <w:rPr>
                <w:lang w:val="sl-SI"/>
              </w:rPr>
            </w:pPr>
            <w:r w:rsidRPr="00FC7A12">
              <w:rPr>
                <w:lang w:val="sl-SI"/>
              </w:rPr>
              <w:t>0</w:t>
            </w:r>
          </w:p>
        </w:tc>
        <w:tc>
          <w:tcPr>
            <w:tcW w:w="688" w:type="dxa"/>
            <w:vAlign w:val="center"/>
          </w:tcPr>
          <w:p w:rsidR="009E459C" w:rsidRPr="00FC7A12" w:rsidRDefault="009E459C" w:rsidP="00101B95">
            <w:pPr>
              <w:jc w:val="center"/>
              <w:rPr>
                <w:lang w:val="sl-SI"/>
              </w:rPr>
            </w:pPr>
            <w:r w:rsidRPr="00FC7A12">
              <w:rPr>
                <w:lang w:val="sl-SI"/>
              </w:rPr>
              <w:t>1</w:t>
            </w:r>
          </w:p>
        </w:tc>
        <w:tc>
          <w:tcPr>
            <w:tcW w:w="688" w:type="dxa"/>
            <w:vAlign w:val="center"/>
          </w:tcPr>
          <w:p w:rsidR="009E459C" w:rsidRPr="00FC7A12" w:rsidRDefault="009E459C" w:rsidP="00101B95">
            <w:pPr>
              <w:jc w:val="center"/>
              <w:rPr>
                <w:lang w:val="sl-SI"/>
              </w:rPr>
            </w:pPr>
            <w:r w:rsidRPr="00FC7A12">
              <w:rPr>
                <w:lang w:val="sl-SI"/>
              </w:rPr>
              <w:t>0</w:t>
            </w:r>
          </w:p>
        </w:tc>
        <w:tc>
          <w:tcPr>
            <w:tcW w:w="688" w:type="dxa"/>
            <w:vAlign w:val="center"/>
          </w:tcPr>
          <w:p w:rsidR="009E459C" w:rsidRPr="00FC7A12" w:rsidRDefault="009E459C" w:rsidP="00101B95">
            <w:pPr>
              <w:jc w:val="center"/>
              <w:rPr>
                <w:lang w:val="sl-SI"/>
              </w:rPr>
            </w:pPr>
            <w:r w:rsidRPr="00FC7A12">
              <w:rPr>
                <w:lang w:val="sl-SI"/>
              </w:rPr>
              <w:t>0</w:t>
            </w:r>
          </w:p>
        </w:tc>
      </w:tr>
      <w:tr w:rsidR="009E459C" w:rsidRPr="00FC7A12" w:rsidTr="00101B95">
        <w:trPr>
          <w:trHeight w:val="312"/>
        </w:trPr>
        <w:tc>
          <w:tcPr>
            <w:tcW w:w="416" w:type="dxa"/>
            <w:vAlign w:val="center"/>
          </w:tcPr>
          <w:p w:rsidR="009E459C" w:rsidRPr="00FC7A12" w:rsidRDefault="009E459C" w:rsidP="00101B95">
            <w:pPr>
              <w:jc w:val="center"/>
              <w:rPr>
                <w:lang w:val="sl-SI"/>
              </w:rPr>
            </w:pPr>
            <w:r w:rsidRPr="00FC7A12">
              <w:rPr>
                <w:lang w:val="sl-SI"/>
              </w:rPr>
              <w:t>4</w:t>
            </w:r>
          </w:p>
        </w:tc>
        <w:tc>
          <w:tcPr>
            <w:tcW w:w="1806" w:type="dxa"/>
            <w:vAlign w:val="center"/>
          </w:tcPr>
          <w:p w:rsidR="009E459C" w:rsidRPr="00FC7A12" w:rsidRDefault="009E459C" w:rsidP="00101B95">
            <w:pPr>
              <w:rPr>
                <w:lang w:val="sl-SI"/>
              </w:rPr>
            </w:pPr>
            <w:r w:rsidRPr="00FC7A12">
              <w:rPr>
                <w:lang w:val="sl-SI"/>
              </w:rPr>
              <w:t>Pomoćni objekti</w:t>
            </w:r>
          </w:p>
        </w:tc>
        <w:tc>
          <w:tcPr>
            <w:tcW w:w="688" w:type="dxa"/>
            <w:vAlign w:val="center"/>
          </w:tcPr>
          <w:p w:rsidR="009E459C" w:rsidRPr="00FC7A12" w:rsidRDefault="009E459C" w:rsidP="00101B95">
            <w:pPr>
              <w:jc w:val="center"/>
              <w:rPr>
                <w:lang w:val="sl-SI"/>
              </w:rPr>
            </w:pPr>
            <w:r w:rsidRPr="00FC7A12">
              <w:rPr>
                <w:lang w:val="sl-SI"/>
              </w:rPr>
              <w:t>8</w:t>
            </w:r>
          </w:p>
        </w:tc>
        <w:tc>
          <w:tcPr>
            <w:tcW w:w="688" w:type="dxa"/>
            <w:vAlign w:val="center"/>
          </w:tcPr>
          <w:p w:rsidR="009E459C" w:rsidRPr="00FC7A12" w:rsidRDefault="009E459C" w:rsidP="00101B95">
            <w:pPr>
              <w:jc w:val="center"/>
              <w:rPr>
                <w:lang w:val="sl-SI"/>
              </w:rPr>
            </w:pPr>
            <w:r w:rsidRPr="00FC7A12">
              <w:rPr>
                <w:lang w:val="sl-SI"/>
              </w:rPr>
              <w:t>6</w:t>
            </w:r>
          </w:p>
        </w:tc>
        <w:tc>
          <w:tcPr>
            <w:tcW w:w="688" w:type="dxa"/>
            <w:vAlign w:val="center"/>
          </w:tcPr>
          <w:p w:rsidR="009E459C" w:rsidRPr="00FC7A12" w:rsidRDefault="009E459C" w:rsidP="00101B95">
            <w:pPr>
              <w:jc w:val="center"/>
              <w:rPr>
                <w:lang w:val="sl-SI"/>
              </w:rPr>
            </w:pPr>
            <w:r w:rsidRPr="00FC7A12">
              <w:rPr>
                <w:lang w:val="sl-SI"/>
              </w:rPr>
              <w:t>12</w:t>
            </w:r>
          </w:p>
        </w:tc>
        <w:tc>
          <w:tcPr>
            <w:tcW w:w="688" w:type="dxa"/>
            <w:vAlign w:val="center"/>
          </w:tcPr>
          <w:p w:rsidR="009E459C" w:rsidRPr="00FC7A12" w:rsidRDefault="009E459C" w:rsidP="00101B95">
            <w:pPr>
              <w:jc w:val="center"/>
              <w:rPr>
                <w:lang w:val="sl-SI"/>
              </w:rPr>
            </w:pPr>
            <w:r w:rsidRPr="00FC7A12">
              <w:rPr>
                <w:lang w:val="sl-SI"/>
              </w:rPr>
              <w:t>13</w:t>
            </w:r>
          </w:p>
        </w:tc>
        <w:tc>
          <w:tcPr>
            <w:tcW w:w="688" w:type="dxa"/>
            <w:vAlign w:val="center"/>
          </w:tcPr>
          <w:p w:rsidR="009E459C" w:rsidRPr="00FC7A12" w:rsidRDefault="009E459C" w:rsidP="00101B95">
            <w:pPr>
              <w:jc w:val="center"/>
              <w:rPr>
                <w:lang w:val="sl-SI"/>
              </w:rPr>
            </w:pPr>
            <w:r w:rsidRPr="00FC7A12">
              <w:rPr>
                <w:lang w:val="sl-SI"/>
              </w:rPr>
              <w:t>10</w:t>
            </w:r>
          </w:p>
        </w:tc>
        <w:tc>
          <w:tcPr>
            <w:tcW w:w="688" w:type="dxa"/>
            <w:vAlign w:val="center"/>
          </w:tcPr>
          <w:p w:rsidR="009E459C" w:rsidRPr="00FC7A12" w:rsidRDefault="009E459C" w:rsidP="00101B95">
            <w:pPr>
              <w:jc w:val="center"/>
              <w:rPr>
                <w:lang w:val="sl-SI"/>
              </w:rPr>
            </w:pPr>
            <w:r w:rsidRPr="00FC7A12">
              <w:rPr>
                <w:lang w:val="sl-SI"/>
              </w:rPr>
              <w:t>16</w:t>
            </w:r>
          </w:p>
        </w:tc>
        <w:tc>
          <w:tcPr>
            <w:tcW w:w="688" w:type="dxa"/>
            <w:vAlign w:val="center"/>
          </w:tcPr>
          <w:p w:rsidR="009E459C" w:rsidRPr="00FC7A12" w:rsidRDefault="009E459C" w:rsidP="00101B95">
            <w:pPr>
              <w:jc w:val="center"/>
              <w:rPr>
                <w:lang w:val="sl-SI"/>
              </w:rPr>
            </w:pPr>
            <w:r w:rsidRPr="00FC7A12">
              <w:rPr>
                <w:lang w:val="sl-SI"/>
              </w:rPr>
              <w:t>14</w:t>
            </w:r>
          </w:p>
        </w:tc>
        <w:tc>
          <w:tcPr>
            <w:tcW w:w="688" w:type="dxa"/>
            <w:vAlign w:val="center"/>
          </w:tcPr>
          <w:p w:rsidR="009E459C" w:rsidRPr="00FC7A12" w:rsidRDefault="009E459C" w:rsidP="00101B95">
            <w:pPr>
              <w:jc w:val="center"/>
              <w:rPr>
                <w:lang w:val="sl-SI"/>
              </w:rPr>
            </w:pPr>
            <w:r w:rsidRPr="00FC7A12">
              <w:rPr>
                <w:lang w:val="sl-SI"/>
              </w:rPr>
              <w:t>9</w:t>
            </w:r>
          </w:p>
        </w:tc>
        <w:tc>
          <w:tcPr>
            <w:tcW w:w="688" w:type="dxa"/>
            <w:vAlign w:val="center"/>
          </w:tcPr>
          <w:p w:rsidR="009E459C" w:rsidRPr="00FC7A12" w:rsidRDefault="009E459C" w:rsidP="00101B95">
            <w:pPr>
              <w:jc w:val="center"/>
              <w:rPr>
                <w:lang w:val="sl-SI"/>
              </w:rPr>
            </w:pPr>
            <w:r w:rsidRPr="00FC7A12">
              <w:rPr>
                <w:lang w:val="sl-SI"/>
              </w:rPr>
              <w:t>14</w:t>
            </w:r>
          </w:p>
        </w:tc>
        <w:tc>
          <w:tcPr>
            <w:tcW w:w="688" w:type="dxa"/>
            <w:vAlign w:val="center"/>
          </w:tcPr>
          <w:p w:rsidR="009E459C" w:rsidRPr="00FC7A12" w:rsidRDefault="009E459C" w:rsidP="00101B95">
            <w:pPr>
              <w:jc w:val="center"/>
              <w:rPr>
                <w:lang w:val="sl-SI"/>
              </w:rPr>
            </w:pPr>
            <w:r w:rsidRPr="00FC7A12">
              <w:rPr>
                <w:lang w:val="sl-SI"/>
              </w:rPr>
              <w:t>11</w:t>
            </w:r>
          </w:p>
        </w:tc>
        <w:tc>
          <w:tcPr>
            <w:tcW w:w="688" w:type="dxa"/>
            <w:vAlign w:val="center"/>
          </w:tcPr>
          <w:p w:rsidR="009E459C" w:rsidRPr="00FC7A12" w:rsidRDefault="009E459C" w:rsidP="00101B95">
            <w:pPr>
              <w:jc w:val="center"/>
              <w:rPr>
                <w:lang w:val="sl-SI"/>
              </w:rPr>
            </w:pPr>
            <w:r w:rsidRPr="00FC7A12">
              <w:rPr>
                <w:lang w:val="sl-SI"/>
              </w:rPr>
              <w:t>16</w:t>
            </w:r>
          </w:p>
        </w:tc>
      </w:tr>
      <w:tr w:rsidR="009E459C" w:rsidRPr="00FC7A12" w:rsidTr="00101B95">
        <w:trPr>
          <w:trHeight w:val="312"/>
        </w:trPr>
        <w:tc>
          <w:tcPr>
            <w:tcW w:w="416" w:type="dxa"/>
            <w:vAlign w:val="center"/>
          </w:tcPr>
          <w:p w:rsidR="009E459C" w:rsidRPr="00FC7A12" w:rsidRDefault="009E459C" w:rsidP="00101B95">
            <w:pPr>
              <w:jc w:val="center"/>
              <w:rPr>
                <w:lang w:val="sl-SI"/>
              </w:rPr>
            </w:pPr>
            <w:r w:rsidRPr="00FC7A12">
              <w:rPr>
                <w:lang w:val="sl-SI"/>
              </w:rPr>
              <w:t>5</w:t>
            </w:r>
          </w:p>
        </w:tc>
        <w:tc>
          <w:tcPr>
            <w:tcW w:w="1806" w:type="dxa"/>
            <w:vAlign w:val="center"/>
          </w:tcPr>
          <w:p w:rsidR="009E459C" w:rsidRPr="00FC7A12" w:rsidRDefault="009E459C" w:rsidP="00101B95">
            <w:pPr>
              <w:rPr>
                <w:lang w:val="sl-SI"/>
              </w:rPr>
            </w:pPr>
            <w:r w:rsidRPr="00FC7A12">
              <w:rPr>
                <w:lang w:val="sl-SI"/>
              </w:rPr>
              <w:t>Prevozna sredst.</w:t>
            </w:r>
          </w:p>
        </w:tc>
        <w:tc>
          <w:tcPr>
            <w:tcW w:w="688" w:type="dxa"/>
            <w:vAlign w:val="center"/>
          </w:tcPr>
          <w:p w:rsidR="009E459C" w:rsidRPr="00FC7A12" w:rsidRDefault="009E459C" w:rsidP="00101B95">
            <w:pPr>
              <w:jc w:val="center"/>
              <w:rPr>
                <w:lang w:val="sl-SI"/>
              </w:rPr>
            </w:pPr>
            <w:r w:rsidRPr="00FC7A12">
              <w:rPr>
                <w:lang w:val="sl-SI"/>
              </w:rPr>
              <w:t>19</w:t>
            </w:r>
          </w:p>
        </w:tc>
        <w:tc>
          <w:tcPr>
            <w:tcW w:w="688" w:type="dxa"/>
            <w:vAlign w:val="center"/>
          </w:tcPr>
          <w:p w:rsidR="009E459C" w:rsidRPr="00FC7A12" w:rsidRDefault="009E459C" w:rsidP="00101B95">
            <w:pPr>
              <w:jc w:val="center"/>
              <w:rPr>
                <w:lang w:val="sl-SI"/>
              </w:rPr>
            </w:pPr>
            <w:r w:rsidRPr="00FC7A12">
              <w:rPr>
                <w:lang w:val="sl-SI"/>
              </w:rPr>
              <w:t>37</w:t>
            </w:r>
          </w:p>
        </w:tc>
        <w:tc>
          <w:tcPr>
            <w:tcW w:w="688" w:type="dxa"/>
            <w:vAlign w:val="center"/>
          </w:tcPr>
          <w:p w:rsidR="009E459C" w:rsidRPr="00FC7A12" w:rsidRDefault="009E459C" w:rsidP="00101B95">
            <w:pPr>
              <w:jc w:val="center"/>
              <w:rPr>
                <w:lang w:val="sl-SI"/>
              </w:rPr>
            </w:pPr>
            <w:r w:rsidRPr="00FC7A12">
              <w:rPr>
                <w:lang w:val="sl-SI"/>
              </w:rPr>
              <w:t>34</w:t>
            </w:r>
          </w:p>
        </w:tc>
        <w:tc>
          <w:tcPr>
            <w:tcW w:w="688" w:type="dxa"/>
            <w:vAlign w:val="center"/>
          </w:tcPr>
          <w:p w:rsidR="009E459C" w:rsidRPr="00FC7A12" w:rsidRDefault="009E459C" w:rsidP="00101B95">
            <w:pPr>
              <w:jc w:val="center"/>
              <w:rPr>
                <w:lang w:val="sl-SI"/>
              </w:rPr>
            </w:pPr>
            <w:r w:rsidRPr="00FC7A12">
              <w:rPr>
                <w:lang w:val="sl-SI"/>
              </w:rPr>
              <w:t>35</w:t>
            </w:r>
          </w:p>
        </w:tc>
        <w:tc>
          <w:tcPr>
            <w:tcW w:w="688" w:type="dxa"/>
            <w:vAlign w:val="center"/>
          </w:tcPr>
          <w:p w:rsidR="009E459C" w:rsidRPr="00FC7A12" w:rsidRDefault="009E459C" w:rsidP="00101B95">
            <w:pPr>
              <w:jc w:val="center"/>
              <w:rPr>
                <w:lang w:val="sl-SI"/>
              </w:rPr>
            </w:pPr>
            <w:r w:rsidRPr="00FC7A12">
              <w:rPr>
                <w:lang w:val="sl-SI"/>
              </w:rPr>
              <w:t>28</w:t>
            </w:r>
          </w:p>
        </w:tc>
        <w:tc>
          <w:tcPr>
            <w:tcW w:w="688" w:type="dxa"/>
            <w:vAlign w:val="center"/>
          </w:tcPr>
          <w:p w:rsidR="009E459C" w:rsidRPr="00FC7A12" w:rsidRDefault="009E459C" w:rsidP="00101B95">
            <w:pPr>
              <w:jc w:val="center"/>
              <w:rPr>
                <w:lang w:val="sl-SI"/>
              </w:rPr>
            </w:pPr>
            <w:r w:rsidRPr="00FC7A12">
              <w:rPr>
                <w:lang w:val="sl-SI"/>
              </w:rPr>
              <w:t>32</w:t>
            </w:r>
          </w:p>
        </w:tc>
        <w:tc>
          <w:tcPr>
            <w:tcW w:w="688" w:type="dxa"/>
            <w:vAlign w:val="center"/>
          </w:tcPr>
          <w:p w:rsidR="009E459C" w:rsidRPr="00FC7A12" w:rsidRDefault="009E459C" w:rsidP="00101B95">
            <w:pPr>
              <w:jc w:val="center"/>
              <w:rPr>
                <w:lang w:val="sl-SI"/>
              </w:rPr>
            </w:pPr>
            <w:r w:rsidRPr="00FC7A12">
              <w:rPr>
                <w:lang w:val="sl-SI"/>
              </w:rPr>
              <w:t>32</w:t>
            </w:r>
          </w:p>
        </w:tc>
        <w:tc>
          <w:tcPr>
            <w:tcW w:w="688" w:type="dxa"/>
            <w:vAlign w:val="center"/>
          </w:tcPr>
          <w:p w:rsidR="009E459C" w:rsidRPr="00FC7A12" w:rsidRDefault="009E459C" w:rsidP="00101B95">
            <w:pPr>
              <w:jc w:val="center"/>
              <w:rPr>
                <w:lang w:val="sl-SI"/>
              </w:rPr>
            </w:pPr>
            <w:r w:rsidRPr="00FC7A12">
              <w:rPr>
                <w:lang w:val="sl-SI"/>
              </w:rPr>
              <w:t>39</w:t>
            </w:r>
          </w:p>
        </w:tc>
        <w:tc>
          <w:tcPr>
            <w:tcW w:w="688" w:type="dxa"/>
            <w:vAlign w:val="center"/>
          </w:tcPr>
          <w:p w:rsidR="009E459C" w:rsidRPr="00FC7A12" w:rsidRDefault="009E459C" w:rsidP="00101B95">
            <w:pPr>
              <w:jc w:val="center"/>
              <w:rPr>
                <w:lang w:val="sl-SI"/>
              </w:rPr>
            </w:pPr>
            <w:r w:rsidRPr="00FC7A12">
              <w:rPr>
                <w:lang w:val="sl-SI"/>
              </w:rPr>
              <w:t>17</w:t>
            </w:r>
          </w:p>
        </w:tc>
        <w:tc>
          <w:tcPr>
            <w:tcW w:w="688" w:type="dxa"/>
            <w:vAlign w:val="center"/>
          </w:tcPr>
          <w:p w:rsidR="009E459C" w:rsidRPr="00FC7A12" w:rsidRDefault="009E459C" w:rsidP="00101B95">
            <w:pPr>
              <w:jc w:val="center"/>
              <w:rPr>
                <w:lang w:val="sl-SI"/>
              </w:rPr>
            </w:pPr>
            <w:r w:rsidRPr="00FC7A12">
              <w:rPr>
                <w:lang w:val="sl-SI"/>
              </w:rPr>
              <w:t>17</w:t>
            </w:r>
          </w:p>
        </w:tc>
        <w:tc>
          <w:tcPr>
            <w:tcW w:w="688" w:type="dxa"/>
            <w:vAlign w:val="center"/>
          </w:tcPr>
          <w:p w:rsidR="009E459C" w:rsidRPr="00FC7A12" w:rsidRDefault="009E459C" w:rsidP="00101B95">
            <w:pPr>
              <w:jc w:val="center"/>
              <w:rPr>
                <w:lang w:val="sl-SI"/>
              </w:rPr>
            </w:pPr>
            <w:r w:rsidRPr="00FC7A12">
              <w:rPr>
                <w:lang w:val="sl-SI"/>
              </w:rPr>
              <w:t>17</w:t>
            </w:r>
          </w:p>
        </w:tc>
      </w:tr>
      <w:tr w:rsidR="009E459C" w:rsidRPr="00FC7A12" w:rsidTr="00101B95">
        <w:trPr>
          <w:trHeight w:val="312"/>
        </w:trPr>
        <w:tc>
          <w:tcPr>
            <w:tcW w:w="416" w:type="dxa"/>
            <w:vAlign w:val="center"/>
          </w:tcPr>
          <w:p w:rsidR="009E459C" w:rsidRPr="00FC7A12" w:rsidRDefault="009E459C" w:rsidP="00101B95">
            <w:pPr>
              <w:jc w:val="center"/>
              <w:rPr>
                <w:lang w:val="sl-SI"/>
              </w:rPr>
            </w:pPr>
            <w:r w:rsidRPr="00FC7A12">
              <w:rPr>
                <w:lang w:val="sl-SI"/>
              </w:rPr>
              <w:t>6</w:t>
            </w:r>
          </w:p>
        </w:tc>
        <w:tc>
          <w:tcPr>
            <w:tcW w:w="1806" w:type="dxa"/>
            <w:vAlign w:val="center"/>
          </w:tcPr>
          <w:p w:rsidR="009E459C" w:rsidRPr="00FC7A12" w:rsidRDefault="009E459C" w:rsidP="00101B95">
            <w:pPr>
              <w:rPr>
                <w:lang w:val="sl-SI"/>
              </w:rPr>
            </w:pPr>
            <w:r w:rsidRPr="00FC7A12">
              <w:rPr>
                <w:lang w:val="sl-SI"/>
              </w:rPr>
              <w:t>Šumski požari</w:t>
            </w:r>
          </w:p>
        </w:tc>
        <w:tc>
          <w:tcPr>
            <w:tcW w:w="688" w:type="dxa"/>
            <w:vAlign w:val="center"/>
          </w:tcPr>
          <w:p w:rsidR="009E459C" w:rsidRPr="00FC7A12" w:rsidRDefault="009E459C" w:rsidP="00101B95">
            <w:pPr>
              <w:jc w:val="center"/>
              <w:rPr>
                <w:lang w:val="sl-SI"/>
              </w:rPr>
            </w:pPr>
            <w:r w:rsidRPr="00FC7A12">
              <w:rPr>
                <w:lang w:val="sl-SI"/>
              </w:rPr>
              <w:t>29</w:t>
            </w:r>
          </w:p>
        </w:tc>
        <w:tc>
          <w:tcPr>
            <w:tcW w:w="688" w:type="dxa"/>
            <w:vAlign w:val="center"/>
          </w:tcPr>
          <w:p w:rsidR="009E459C" w:rsidRPr="00FC7A12" w:rsidRDefault="009E459C" w:rsidP="00101B95">
            <w:pPr>
              <w:jc w:val="center"/>
              <w:rPr>
                <w:lang w:val="sl-SI"/>
              </w:rPr>
            </w:pPr>
            <w:r w:rsidRPr="00FC7A12">
              <w:rPr>
                <w:lang w:val="sl-SI"/>
              </w:rPr>
              <w:t>67</w:t>
            </w:r>
          </w:p>
        </w:tc>
        <w:tc>
          <w:tcPr>
            <w:tcW w:w="688" w:type="dxa"/>
            <w:vAlign w:val="center"/>
          </w:tcPr>
          <w:p w:rsidR="009E459C" w:rsidRPr="00FC7A12" w:rsidRDefault="009E459C" w:rsidP="00101B95">
            <w:pPr>
              <w:jc w:val="center"/>
              <w:rPr>
                <w:lang w:val="sl-SI"/>
              </w:rPr>
            </w:pPr>
            <w:r w:rsidRPr="00FC7A12">
              <w:rPr>
                <w:lang w:val="sl-SI"/>
              </w:rPr>
              <w:t>120</w:t>
            </w:r>
          </w:p>
        </w:tc>
        <w:tc>
          <w:tcPr>
            <w:tcW w:w="688" w:type="dxa"/>
            <w:vAlign w:val="center"/>
          </w:tcPr>
          <w:p w:rsidR="009E459C" w:rsidRPr="00FC7A12" w:rsidRDefault="009E459C" w:rsidP="00101B95">
            <w:pPr>
              <w:jc w:val="center"/>
              <w:rPr>
                <w:lang w:val="sl-SI"/>
              </w:rPr>
            </w:pPr>
            <w:r w:rsidRPr="00FC7A12">
              <w:rPr>
                <w:lang w:val="sl-SI"/>
              </w:rPr>
              <w:t>21</w:t>
            </w:r>
          </w:p>
        </w:tc>
        <w:tc>
          <w:tcPr>
            <w:tcW w:w="688" w:type="dxa"/>
            <w:vAlign w:val="center"/>
          </w:tcPr>
          <w:p w:rsidR="009E459C" w:rsidRPr="00FC7A12" w:rsidRDefault="009E459C" w:rsidP="00101B95">
            <w:pPr>
              <w:jc w:val="center"/>
              <w:rPr>
                <w:lang w:val="sl-SI"/>
              </w:rPr>
            </w:pPr>
            <w:r w:rsidRPr="00FC7A12">
              <w:rPr>
                <w:lang w:val="sl-SI"/>
              </w:rPr>
              <w:t>1</w:t>
            </w:r>
          </w:p>
        </w:tc>
        <w:tc>
          <w:tcPr>
            <w:tcW w:w="688" w:type="dxa"/>
            <w:vAlign w:val="center"/>
          </w:tcPr>
          <w:p w:rsidR="009E459C" w:rsidRPr="00FC7A12" w:rsidRDefault="009E459C" w:rsidP="00101B95">
            <w:pPr>
              <w:jc w:val="center"/>
              <w:rPr>
                <w:lang w:val="sl-SI"/>
              </w:rPr>
            </w:pPr>
            <w:r w:rsidRPr="00FC7A12">
              <w:rPr>
                <w:lang w:val="sl-SI"/>
              </w:rPr>
              <w:t>36</w:t>
            </w:r>
          </w:p>
        </w:tc>
        <w:tc>
          <w:tcPr>
            <w:tcW w:w="688" w:type="dxa"/>
            <w:vAlign w:val="center"/>
          </w:tcPr>
          <w:p w:rsidR="009E459C" w:rsidRPr="00FC7A12" w:rsidRDefault="009E459C" w:rsidP="00101B95">
            <w:pPr>
              <w:jc w:val="center"/>
              <w:rPr>
                <w:lang w:val="sl-SI"/>
              </w:rPr>
            </w:pPr>
            <w:r w:rsidRPr="00FC7A12">
              <w:rPr>
                <w:lang w:val="sl-SI"/>
              </w:rPr>
              <w:t>10</w:t>
            </w:r>
          </w:p>
        </w:tc>
        <w:tc>
          <w:tcPr>
            <w:tcW w:w="688" w:type="dxa"/>
            <w:vAlign w:val="center"/>
          </w:tcPr>
          <w:p w:rsidR="009E459C" w:rsidRPr="00FC7A12" w:rsidRDefault="009E459C" w:rsidP="00101B95">
            <w:pPr>
              <w:jc w:val="center"/>
              <w:rPr>
                <w:lang w:val="sl-SI"/>
              </w:rPr>
            </w:pPr>
            <w:r w:rsidRPr="00FC7A12">
              <w:rPr>
                <w:lang w:val="sl-SI"/>
              </w:rPr>
              <w:t>96</w:t>
            </w:r>
          </w:p>
        </w:tc>
        <w:tc>
          <w:tcPr>
            <w:tcW w:w="688" w:type="dxa"/>
            <w:vAlign w:val="center"/>
          </w:tcPr>
          <w:p w:rsidR="009E459C" w:rsidRPr="00FC7A12" w:rsidRDefault="009E459C" w:rsidP="00101B95">
            <w:pPr>
              <w:jc w:val="center"/>
              <w:rPr>
                <w:lang w:val="sl-SI"/>
              </w:rPr>
            </w:pPr>
            <w:r w:rsidRPr="00FC7A12">
              <w:rPr>
                <w:lang w:val="sl-SI"/>
              </w:rPr>
              <w:t>6</w:t>
            </w:r>
          </w:p>
        </w:tc>
        <w:tc>
          <w:tcPr>
            <w:tcW w:w="688" w:type="dxa"/>
            <w:vAlign w:val="center"/>
          </w:tcPr>
          <w:p w:rsidR="009E459C" w:rsidRPr="00FC7A12" w:rsidRDefault="009E459C" w:rsidP="00101B95">
            <w:pPr>
              <w:jc w:val="center"/>
              <w:rPr>
                <w:lang w:val="sl-SI"/>
              </w:rPr>
            </w:pPr>
            <w:r w:rsidRPr="00FC7A12">
              <w:rPr>
                <w:lang w:val="sl-SI"/>
              </w:rPr>
              <w:t>33</w:t>
            </w:r>
          </w:p>
        </w:tc>
        <w:tc>
          <w:tcPr>
            <w:tcW w:w="688" w:type="dxa"/>
            <w:vAlign w:val="center"/>
          </w:tcPr>
          <w:p w:rsidR="009E459C" w:rsidRPr="00FC7A12" w:rsidRDefault="009E459C" w:rsidP="00101B95">
            <w:pPr>
              <w:jc w:val="center"/>
              <w:rPr>
                <w:lang w:val="sl-SI"/>
              </w:rPr>
            </w:pPr>
            <w:r w:rsidRPr="00FC7A12">
              <w:rPr>
                <w:lang w:val="sl-SI"/>
              </w:rPr>
              <w:t>18</w:t>
            </w:r>
          </w:p>
        </w:tc>
      </w:tr>
      <w:tr w:rsidR="009E459C" w:rsidRPr="00FC7A12" w:rsidTr="00101B95">
        <w:trPr>
          <w:trHeight w:val="312"/>
        </w:trPr>
        <w:tc>
          <w:tcPr>
            <w:tcW w:w="416" w:type="dxa"/>
            <w:vAlign w:val="center"/>
          </w:tcPr>
          <w:p w:rsidR="009E459C" w:rsidRPr="00FC7A12" w:rsidRDefault="009E459C" w:rsidP="00101B95">
            <w:pPr>
              <w:jc w:val="center"/>
              <w:rPr>
                <w:lang w:val="sl-SI"/>
              </w:rPr>
            </w:pPr>
            <w:r w:rsidRPr="00FC7A12">
              <w:rPr>
                <w:lang w:val="sl-SI"/>
              </w:rPr>
              <w:t>7</w:t>
            </w:r>
          </w:p>
        </w:tc>
        <w:tc>
          <w:tcPr>
            <w:tcW w:w="1806" w:type="dxa"/>
            <w:vAlign w:val="center"/>
          </w:tcPr>
          <w:p w:rsidR="009E459C" w:rsidRPr="00FC7A12" w:rsidRDefault="009E459C" w:rsidP="00101B95">
            <w:pPr>
              <w:rPr>
                <w:lang w:val="sl-SI"/>
              </w:rPr>
            </w:pPr>
            <w:r w:rsidRPr="00FC7A12">
              <w:rPr>
                <w:lang w:val="sl-SI"/>
              </w:rPr>
              <w:t>Nisko rastinje</w:t>
            </w:r>
          </w:p>
        </w:tc>
        <w:tc>
          <w:tcPr>
            <w:tcW w:w="688" w:type="dxa"/>
            <w:vAlign w:val="center"/>
          </w:tcPr>
          <w:p w:rsidR="009E459C" w:rsidRPr="00FC7A12" w:rsidRDefault="009E459C" w:rsidP="00101B95">
            <w:pPr>
              <w:jc w:val="center"/>
              <w:rPr>
                <w:lang w:val="sl-SI"/>
              </w:rPr>
            </w:pPr>
            <w:r w:rsidRPr="00FC7A12">
              <w:rPr>
                <w:lang w:val="sl-SI"/>
              </w:rPr>
              <w:t>78</w:t>
            </w:r>
          </w:p>
        </w:tc>
        <w:tc>
          <w:tcPr>
            <w:tcW w:w="688" w:type="dxa"/>
            <w:vAlign w:val="center"/>
          </w:tcPr>
          <w:p w:rsidR="009E459C" w:rsidRPr="00FC7A12" w:rsidRDefault="009E459C" w:rsidP="00101B95">
            <w:pPr>
              <w:jc w:val="center"/>
              <w:rPr>
                <w:lang w:val="sl-SI"/>
              </w:rPr>
            </w:pPr>
            <w:r w:rsidRPr="00FC7A12">
              <w:rPr>
                <w:lang w:val="sl-SI"/>
              </w:rPr>
              <w:t>159</w:t>
            </w:r>
          </w:p>
        </w:tc>
        <w:tc>
          <w:tcPr>
            <w:tcW w:w="688" w:type="dxa"/>
            <w:vAlign w:val="center"/>
          </w:tcPr>
          <w:p w:rsidR="009E459C" w:rsidRPr="00FC7A12" w:rsidRDefault="009E459C" w:rsidP="00101B95">
            <w:pPr>
              <w:jc w:val="center"/>
              <w:rPr>
                <w:lang w:val="sl-SI"/>
              </w:rPr>
            </w:pPr>
            <w:r w:rsidRPr="00FC7A12">
              <w:rPr>
                <w:lang w:val="sl-SI"/>
              </w:rPr>
              <w:t>238</w:t>
            </w:r>
          </w:p>
        </w:tc>
        <w:tc>
          <w:tcPr>
            <w:tcW w:w="688" w:type="dxa"/>
            <w:vAlign w:val="center"/>
          </w:tcPr>
          <w:p w:rsidR="009E459C" w:rsidRPr="00FC7A12" w:rsidRDefault="009E459C" w:rsidP="00101B95">
            <w:pPr>
              <w:jc w:val="center"/>
              <w:rPr>
                <w:lang w:val="sl-SI"/>
              </w:rPr>
            </w:pPr>
            <w:r w:rsidRPr="00FC7A12">
              <w:rPr>
                <w:lang w:val="sl-SI"/>
              </w:rPr>
              <w:t>106</w:t>
            </w:r>
          </w:p>
        </w:tc>
        <w:tc>
          <w:tcPr>
            <w:tcW w:w="688" w:type="dxa"/>
            <w:vAlign w:val="center"/>
          </w:tcPr>
          <w:p w:rsidR="009E459C" w:rsidRPr="00FC7A12" w:rsidRDefault="009E459C" w:rsidP="00101B95">
            <w:pPr>
              <w:jc w:val="center"/>
              <w:rPr>
                <w:lang w:val="sl-SI"/>
              </w:rPr>
            </w:pPr>
            <w:r w:rsidRPr="00FC7A12">
              <w:rPr>
                <w:lang w:val="sl-SI"/>
              </w:rPr>
              <w:t>32</w:t>
            </w:r>
          </w:p>
        </w:tc>
        <w:tc>
          <w:tcPr>
            <w:tcW w:w="688" w:type="dxa"/>
            <w:vAlign w:val="center"/>
          </w:tcPr>
          <w:p w:rsidR="009E459C" w:rsidRPr="00FC7A12" w:rsidRDefault="009E459C" w:rsidP="00101B95">
            <w:pPr>
              <w:jc w:val="center"/>
              <w:rPr>
                <w:lang w:val="sl-SI"/>
              </w:rPr>
            </w:pPr>
            <w:r w:rsidRPr="00FC7A12">
              <w:rPr>
                <w:lang w:val="sl-SI"/>
              </w:rPr>
              <w:t>231</w:t>
            </w:r>
          </w:p>
        </w:tc>
        <w:tc>
          <w:tcPr>
            <w:tcW w:w="688" w:type="dxa"/>
            <w:vAlign w:val="center"/>
          </w:tcPr>
          <w:p w:rsidR="009E459C" w:rsidRPr="00FC7A12" w:rsidRDefault="009E459C" w:rsidP="00101B95">
            <w:pPr>
              <w:jc w:val="center"/>
              <w:rPr>
                <w:lang w:val="sl-SI"/>
              </w:rPr>
            </w:pPr>
            <w:r w:rsidRPr="00FC7A12">
              <w:rPr>
                <w:lang w:val="sl-SI"/>
              </w:rPr>
              <w:t>136</w:t>
            </w:r>
          </w:p>
        </w:tc>
        <w:tc>
          <w:tcPr>
            <w:tcW w:w="688" w:type="dxa"/>
            <w:vAlign w:val="center"/>
          </w:tcPr>
          <w:p w:rsidR="009E459C" w:rsidRPr="00FC7A12" w:rsidRDefault="009E459C" w:rsidP="00101B95">
            <w:pPr>
              <w:jc w:val="center"/>
              <w:rPr>
                <w:lang w:val="sl-SI"/>
              </w:rPr>
            </w:pPr>
            <w:r w:rsidRPr="00FC7A12">
              <w:rPr>
                <w:lang w:val="sl-SI"/>
              </w:rPr>
              <w:t>281</w:t>
            </w:r>
          </w:p>
        </w:tc>
        <w:tc>
          <w:tcPr>
            <w:tcW w:w="688" w:type="dxa"/>
            <w:vAlign w:val="center"/>
          </w:tcPr>
          <w:p w:rsidR="009E459C" w:rsidRPr="00FC7A12" w:rsidRDefault="009E459C" w:rsidP="00101B95">
            <w:pPr>
              <w:jc w:val="center"/>
              <w:rPr>
                <w:lang w:val="sl-SI"/>
              </w:rPr>
            </w:pPr>
            <w:r w:rsidRPr="00FC7A12">
              <w:rPr>
                <w:lang w:val="sl-SI"/>
              </w:rPr>
              <w:t>83</w:t>
            </w:r>
          </w:p>
        </w:tc>
        <w:tc>
          <w:tcPr>
            <w:tcW w:w="688" w:type="dxa"/>
            <w:vAlign w:val="center"/>
          </w:tcPr>
          <w:p w:rsidR="009E459C" w:rsidRPr="00FC7A12" w:rsidRDefault="009E459C" w:rsidP="00101B95">
            <w:pPr>
              <w:jc w:val="center"/>
              <w:rPr>
                <w:lang w:val="sl-SI"/>
              </w:rPr>
            </w:pPr>
            <w:r w:rsidRPr="00FC7A12">
              <w:rPr>
                <w:lang w:val="sl-SI"/>
              </w:rPr>
              <w:t>215</w:t>
            </w:r>
          </w:p>
        </w:tc>
        <w:tc>
          <w:tcPr>
            <w:tcW w:w="688" w:type="dxa"/>
            <w:vAlign w:val="center"/>
          </w:tcPr>
          <w:p w:rsidR="009E459C" w:rsidRPr="00FC7A12" w:rsidRDefault="009E459C" w:rsidP="00101B95">
            <w:pPr>
              <w:jc w:val="center"/>
              <w:rPr>
                <w:lang w:val="sl-SI"/>
              </w:rPr>
            </w:pPr>
            <w:r w:rsidRPr="00FC7A12">
              <w:rPr>
                <w:lang w:val="sl-SI"/>
              </w:rPr>
              <w:t>216</w:t>
            </w:r>
          </w:p>
        </w:tc>
      </w:tr>
      <w:tr w:rsidR="009E459C" w:rsidRPr="00FC7A12" w:rsidTr="00101B95">
        <w:trPr>
          <w:trHeight w:val="312"/>
        </w:trPr>
        <w:tc>
          <w:tcPr>
            <w:tcW w:w="416" w:type="dxa"/>
            <w:vAlign w:val="center"/>
          </w:tcPr>
          <w:p w:rsidR="009E459C" w:rsidRPr="00FC7A12" w:rsidRDefault="009E459C" w:rsidP="00101B95">
            <w:pPr>
              <w:jc w:val="center"/>
              <w:rPr>
                <w:lang w:val="sl-SI"/>
              </w:rPr>
            </w:pPr>
            <w:r w:rsidRPr="00FC7A12">
              <w:rPr>
                <w:lang w:val="sl-SI"/>
              </w:rPr>
              <w:t>8</w:t>
            </w:r>
          </w:p>
        </w:tc>
        <w:tc>
          <w:tcPr>
            <w:tcW w:w="1806" w:type="dxa"/>
            <w:vAlign w:val="center"/>
          </w:tcPr>
          <w:p w:rsidR="009E459C" w:rsidRPr="00FC7A12" w:rsidRDefault="009E459C" w:rsidP="00101B95">
            <w:pPr>
              <w:rPr>
                <w:lang w:val="sl-SI"/>
              </w:rPr>
            </w:pPr>
            <w:r w:rsidRPr="00FC7A12">
              <w:rPr>
                <w:lang w:val="sl-SI"/>
              </w:rPr>
              <w:t>Ostale intervenc.</w:t>
            </w:r>
          </w:p>
        </w:tc>
        <w:tc>
          <w:tcPr>
            <w:tcW w:w="688" w:type="dxa"/>
            <w:vAlign w:val="center"/>
          </w:tcPr>
          <w:p w:rsidR="009E459C" w:rsidRPr="00FC7A12" w:rsidRDefault="009E459C" w:rsidP="00101B95">
            <w:pPr>
              <w:jc w:val="center"/>
              <w:rPr>
                <w:lang w:val="sl-SI"/>
              </w:rPr>
            </w:pPr>
            <w:r w:rsidRPr="00FC7A12">
              <w:rPr>
                <w:lang w:val="sl-SI"/>
              </w:rPr>
              <w:t>201</w:t>
            </w:r>
          </w:p>
        </w:tc>
        <w:tc>
          <w:tcPr>
            <w:tcW w:w="688" w:type="dxa"/>
            <w:vAlign w:val="center"/>
          </w:tcPr>
          <w:p w:rsidR="009E459C" w:rsidRPr="00FC7A12" w:rsidRDefault="009E459C" w:rsidP="00101B95">
            <w:pPr>
              <w:jc w:val="center"/>
              <w:rPr>
                <w:lang w:val="sl-SI"/>
              </w:rPr>
            </w:pPr>
            <w:r w:rsidRPr="00FC7A12">
              <w:rPr>
                <w:lang w:val="sl-SI"/>
              </w:rPr>
              <w:t>333</w:t>
            </w:r>
          </w:p>
        </w:tc>
        <w:tc>
          <w:tcPr>
            <w:tcW w:w="688" w:type="dxa"/>
            <w:vAlign w:val="center"/>
          </w:tcPr>
          <w:p w:rsidR="009E459C" w:rsidRPr="00FC7A12" w:rsidRDefault="009E459C" w:rsidP="00101B95">
            <w:pPr>
              <w:jc w:val="center"/>
              <w:rPr>
                <w:lang w:val="sl-SI"/>
              </w:rPr>
            </w:pPr>
            <w:r w:rsidRPr="00FC7A12">
              <w:rPr>
                <w:lang w:val="sl-SI"/>
              </w:rPr>
              <w:t>111</w:t>
            </w:r>
          </w:p>
        </w:tc>
        <w:tc>
          <w:tcPr>
            <w:tcW w:w="688" w:type="dxa"/>
            <w:vAlign w:val="center"/>
          </w:tcPr>
          <w:p w:rsidR="009E459C" w:rsidRPr="00FC7A12" w:rsidRDefault="009E459C" w:rsidP="00101B95">
            <w:pPr>
              <w:jc w:val="center"/>
              <w:rPr>
                <w:lang w:val="sl-SI"/>
              </w:rPr>
            </w:pPr>
            <w:r w:rsidRPr="00FC7A12">
              <w:rPr>
                <w:lang w:val="sl-SI"/>
              </w:rPr>
              <w:t>125</w:t>
            </w:r>
          </w:p>
        </w:tc>
        <w:tc>
          <w:tcPr>
            <w:tcW w:w="688" w:type="dxa"/>
            <w:vAlign w:val="center"/>
          </w:tcPr>
          <w:p w:rsidR="009E459C" w:rsidRPr="00FC7A12" w:rsidRDefault="009E459C" w:rsidP="00101B95">
            <w:pPr>
              <w:jc w:val="center"/>
              <w:rPr>
                <w:lang w:val="sl-SI"/>
              </w:rPr>
            </w:pPr>
            <w:r w:rsidRPr="00FC7A12">
              <w:rPr>
                <w:lang w:val="sl-SI"/>
              </w:rPr>
              <w:t>82</w:t>
            </w:r>
          </w:p>
        </w:tc>
        <w:tc>
          <w:tcPr>
            <w:tcW w:w="688" w:type="dxa"/>
            <w:vAlign w:val="center"/>
          </w:tcPr>
          <w:p w:rsidR="009E459C" w:rsidRPr="00FC7A12" w:rsidRDefault="009E459C" w:rsidP="00101B95">
            <w:pPr>
              <w:jc w:val="center"/>
              <w:rPr>
                <w:lang w:val="sl-SI"/>
              </w:rPr>
            </w:pPr>
            <w:r w:rsidRPr="00FC7A12">
              <w:rPr>
                <w:lang w:val="sl-SI"/>
              </w:rPr>
              <w:t>180</w:t>
            </w:r>
          </w:p>
        </w:tc>
        <w:tc>
          <w:tcPr>
            <w:tcW w:w="688" w:type="dxa"/>
            <w:vAlign w:val="center"/>
          </w:tcPr>
          <w:p w:rsidR="009E459C" w:rsidRPr="00FC7A12" w:rsidRDefault="009E459C" w:rsidP="00101B95">
            <w:pPr>
              <w:jc w:val="center"/>
              <w:rPr>
                <w:lang w:val="sl-SI"/>
              </w:rPr>
            </w:pPr>
            <w:r w:rsidRPr="00FC7A12">
              <w:rPr>
                <w:lang w:val="sl-SI"/>
              </w:rPr>
              <w:t>263</w:t>
            </w:r>
          </w:p>
        </w:tc>
        <w:tc>
          <w:tcPr>
            <w:tcW w:w="688" w:type="dxa"/>
            <w:vAlign w:val="center"/>
          </w:tcPr>
          <w:p w:rsidR="009E459C" w:rsidRPr="00FC7A12" w:rsidRDefault="009E459C" w:rsidP="00101B95">
            <w:pPr>
              <w:jc w:val="center"/>
              <w:rPr>
                <w:lang w:val="sl-SI"/>
              </w:rPr>
            </w:pPr>
            <w:r w:rsidRPr="00FC7A12">
              <w:rPr>
                <w:lang w:val="sl-SI"/>
              </w:rPr>
              <w:t>132</w:t>
            </w:r>
          </w:p>
        </w:tc>
        <w:tc>
          <w:tcPr>
            <w:tcW w:w="688" w:type="dxa"/>
            <w:vAlign w:val="center"/>
          </w:tcPr>
          <w:p w:rsidR="009E459C" w:rsidRPr="00FC7A12" w:rsidRDefault="009E459C" w:rsidP="00101B95">
            <w:pPr>
              <w:jc w:val="center"/>
              <w:rPr>
                <w:lang w:val="sl-SI"/>
              </w:rPr>
            </w:pPr>
            <w:r w:rsidRPr="00FC7A12">
              <w:rPr>
                <w:lang w:val="sl-SI"/>
              </w:rPr>
              <w:t>126</w:t>
            </w:r>
          </w:p>
        </w:tc>
        <w:tc>
          <w:tcPr>
            <w:tcW w:w="688" w:type="dxa"/>
            <w:vAlign w:val="center"/>
          </w:tcPr>
          <w:p w:rsidR="009E459C" w:rsidRPr="00FC7A12" w:rsidRDefault="009E459C" w:rsidP="00101B95">
            <w:pPr>
              <w:jc w:val="center"/>
              <w:rPr>
                <w:lang w:val="sl-SI"/>
              </w:rPr>
            </w:pPr>
            <w:r w:rsidRPr="00FC7A12">
              <w:rPr>
                <w:lang w:val="sl-SI"/>
              </w:rPr>
              <w:t>205</w:t>
            </w:r>
          </w:p>
        </w:tc>
        <w:tc>
          <w:tcPr>
            <w:tcW w:w="688" w:type="dxa"/>
            <w:vAlign w:val="center"/>
          </w:tcPr>
          <w:p w:rsidR="009E459C" w:rsidRPr="00FC7A12" w:rsidRDefault="009E459C" w:rsidP="00101B95">
            <w:pPr>
              <w:jc w:val="center"/>
              <w:rPr>
                <w:lang w:val="sl-SI"/>
              </w:rPr>
            </w:pPr>
            <w:r w:rsidRPr="00FC7A12">
              <w:rPr>
                <w:lang w:val="sl-SI"/>
              </w:rPr>
              <w:t>303</w:t>
            </w:r>
          </w:p>
        </w:tc>
      </w:tr>
      <w:tr w:rsidR="009E459C" w:rsidRPr="00FC7A12" w:rsidTr="00101B95">
        <w:trPr>
          <w:trHeight w:val="312"/>
        </w:trPr>
        <w:tc>
          <w:tcPr>
            <w:tcW w:w="416" w:type="dxa"/>
            <w:shd w:val="clear" w:color="auto" w:fill="E6E6E6"/>
          </w:tcPr>
          <w:p w:rsidR="009E459C" w:rsidRPr="00FC7A12" w:rsidRDefault="009E459C" w:rsidP="00101B95">
            <w:pPr>
              <w:jc w:val="both"/>
              <w:rPr>
                <w:b/>
                <w:lang w:val="sl-SI"/>
              </w:rPr>
            </w:pPr>
          </w:p>
        </w:tc>
        <w:tc>
          <w:tcPr>
            <w:tcW w:w="1806" w:type="dxa"/>
            <w:shd w:val="clear" w:color="auto" w:fill="E6E6E6"/>
            <w:vAlign w:val="center"/>
          </w:tcPr>
          <w:p w:rsidR="009E459C" w:rsidRPr="00FC7A12" w:rsidRDefault="009E459C" w:rsidP="00101B95">
            <w:pPr>
              <w:jc w:val="right"/>
              <w:rPr>
                <w:b/>
                <w:lang w:val="sl-SI"/>
              </w:rPr>
            </w:pPr>
            <w:r w:rsidRPr="00FC7A12">
              <w:rPr>
                <w:b/>
                <w:lang w:val="sl-SI"/>
              </w:rPr>
              <w:t>UKUPNO</w:t>
            </w:r>
          </w:p>
        </w:tc>
        <w:tc>
          <w:tcPr>
            <w:tcW w:w="688" w:type="dxa"/>
            <w:shd w:val="clear" w:color="auto" w:fill="E6E6E6"/>
            <w:vAlign w:val="center"/>
          </w:tcPr>
          <w:p w:rsidR="009E459C" w:rsidRPr="00FC7A12" w:rsidRDefault="009E459C" w:rsidP="00101B95">
            <w:pPr>
              <w:jc w:val="center"/>
              <w:rPr>
                <w:b/>
                <w:lang w:val="sl-SI"/>
              </w:rPr>
            </w:pPr>
            <w:r w:rsidRPr="00FC7A12">
              <w:rPr>
                <w:b/>
                <w:lang w:val="sl-SI"/>
              </w:rPr>
              <w:t>407</w:t>
            </w:r>
          </w:p>
        </w:tc>
        <w:tc>
          <w:tcPr>
            <w:tcW w:w="688" w:type="dxa"/>
            <w:shd w:val="clear" w:color="auto" w:fill="E6E6E6"/>
            <w:vAlign w:val="center"/>
          </w:tcPr>
          <w:p w:rsidR="009E459C" w:rsidRPr="00FC7A12" w:rsidRDefault="009E459C" w:rsidP="00101B95">
            <w:pPr>
              <w:jc w:val="center"/>
              <w:rPr>
                <w:b/>
                <w:lang w:val="sl-SI"/>
              </w:rPr>
            </w:pPr>
            <w:r w:rsidRPr="00FC7A12">
              <w:rPr>
                <w:b/>
                <w:lang w:val="sl-SI"/>
              </w:rPr>
              <w:t>684</w:t>
            </w:r>
          </w:p>
        </w:tc>
        <w:tc>
          <w:tcPr>
            <w:tcW w:w="688" w:type="dxa"/>
            <w:shd w:val="clear" w:color="auto" w:fill="E6E6E6"/>
            <w:vAlign w:val="center"/>
          </w:tcPr>
          <w:p w:rsidR="009E459C" w:rsidRPr="00FC7A12" w:rsidRDefault="009E459C" w:rsidP="00101B95">
            <w:pPr>
              <w:jc w:val="center"/>
              <w:rPr>
                <w:b/>
                <w:lang w:val="sl-SI"/>
              </w:rPr>
            </w:pPr>
            <w:r w:rsidRPr="00FC7A12">
              <w:rPr>
                <w:b/>
                <w:lang w:val="sl-SI"/>
              </w:rPr>
              <w:t>596</w:t>
            </w:r>
          </w:p>
        </w:tc>
        <w:tc>
          <w:tcPr>
            <w:tcW w:w="688" w:type="dxa"/>
            <w:shd w:val="clear" w:color="auto" w:fill="E6E6E6"/>
            <w:vAlign w:val="center"/>
          </w:tcPr>
          <w:p w:rsidR="009E459C" w:rsidRPr="00FC7A12" w:rsidRDefault="009E459C" w:rsidP="00101B95">
            <w:pPr>
              <w:jc w:val="center"/>
              <w:rPr>
                <w:b/>
                <w:lang w:val="sl-SI"/>
              </w:rPr>
            </w:pPr>
            <w:r w:rsidRPr="00FC7A12">
              <w:rPr>
                <w:b/>
                <w:lang w:val="sl-SI"/>
              </w:rPr>
              <w:t>382</w:t>
            </w:r>
          </w:p>
        </w:tc>
        <w:tc>
          <w:tcPr>
            <w:tcW w:w="688" w:type="dxa"/>
            <w:shd w:val="clear" w:color="auto" w:fill="E6E6E6"/>
            <w:vAlign w:val="center"/>
          </w:tcPr>
          <w:p w:rsidR="009E459C" w:rsidRPr="00FC7A12" w:rsidRDefault="009E459C" w:rsidP="00101B95">
            <w:pPr>
              <w:jc w:val="center"/>
              <w:rPr>
                <w:b/>
                <w:lang w:val="sl-SI"/>
              </w:rPr>
            </w:pPr>
            <w:r w:rsidRPr="00FC7A12">
              <w:rPr>
                <w:b/>
                <w:lang w:val="sl-SI"/>
              </w:rPr>
              <w:t>235</w:t>
            </w:r>
          </w:p>
        </w:tc>
        <w:tc>
          <w:tcPr>
            <w:tcW w:w="688" w:type="dxa"/>
            <w:shd w:val="clear" w:color="auto" w:fill="E6E6E6"/>
            <w:vAlign w:val="center"/>
          </w:tcPr>
          <w:p w:rsidR="009E459C" w:rsidRPr="00FC7A12" w:rsidRDefault="009E459C" w:rsidP="00101B95">
            <w:pPr>
              <w:jc w:val="center"/>
              <w:rPr>
                <w:b/>
                <w:lang w:val="sl-SI"/>
              </w:rPr>
            </w:pPr>
            <w:r w:rsidRPr="00FC7A12">
              <w:rPr>
                <w:b/>
                <w:lang w:val="sl-SI"/>
              </w:rPr>
              <w:t>604</w:t>
            </w:r>
          </w:p>
        </w:tc>
        <w:tc>
          <w:tcPr>
            <w:tcW w:w="688" w:type="dxa"/>
            <w:shd w:val="clear" w:color="auto" w:fill="E6E6E6"/>
            <w:vAlign w:val="center"/>
          </w:tcPr>
          <w:p w:rsidR="009E459C" w:rsidRPr="00FC7A12" w:rsidRDefault="009E459C" w:rsidP="00101B95">
            <w:pPr>
              <w:jc w:val="center"/>
              <w:rPr>
                <w:b/>
                <w:lang w:val="sl-SI"/>
              </w:rPr>
            </w:pPr>
            <w:r w:rsidRPr="00FC7A12">
              <w:rPr>
                <w:b/>
                <w:lang w:val="sl-SI"/>
              </w:rPr>
              <w:t>536</w:t>
            </w:r>
          </w:p>
        </w:tc>
        <w:tc>
          <w:tcPr>
            <w:tcW w:w="688" w:type="dxa"/>
            <w:shd w:val="clear" w:color="auto" w:fill="E6E6E6"/>
            <w:vAlign w:val="center"/>
          </w:tcPr>
          <w:p w:rsidR="009E459C" w:rsidRPr="00FC7A12" w:rsidRDefault="009E459C" w:rsidP="00101B95">
            <w:pPr>
              <w:jc w:val="center"/>
              <w:rPr>
                <w:b/>
                <w:lang w:val="sl-SI"/>
              </w:rPr>
            </w:pPr>
            <w:r w:rsidRPr="00FC7A12">
              <w:rPr>
                <w:b/>
                <w:lang w:val="sl-SI"/>
              </w:rPr>
              <w:t>641</w:t>
            </w:r>
          </w:p>
        </w:tc>
        <w:tc>
          <w:tcPr>
            <w:tcW w:w="688" w:type="dxa"/>
            <w:shd w:val="clear" w:color="auto" w:fill="E6E6E6"/>
            <w:vAlign w:val="center"/>
          </w:tcPr>
          <w:p w:rsidR="009E459C" w:rsidRPr="00FC7A12" w:rsidRDefault="009E459C" w:rsidP="00101B95">
            <w:pPr>
              <w:jc w:val="center"/>
              <w:rPr>
                <w:b/>
                <w:lang w:val="sl-SI"/>
              </w:rPr>
            </w:pPr>
            <w:r w:rsidRPr="00FC7A12">
              <w:rPr>
                <w:b/>
                <w:lang w:val="sl-SI"/>
              </w:rPr>
              <w:t>321</w:t>
            </w:r>
          </w:p>
        </w:tc>
        <w:tc>
          <w:tcPr>
            <w:tcW w:w="688" w:type="dxa"/>
            <w:shd w:val="clear" w:color="auto" w:fill="E6E6E6"/>
            <w:vAlign w:val="center"/>
          </w:tcPr>
          <w:p w:rsidR="009E459C" w:rsidRPr="00FC7A12" w:rsidRDefault="009E459C" w:rsidP="00101B95">
            <w:pPr>
              <w:jc w:val="center"/>
              <w:rPr>
                <w:b/>
                <w:lang w:val="sl-SI"/>
              </w:rPr>
            </w:pPr>
            <w:r w:rsidRPr="00FC7A12">
              <w:rPr>
                <w:b/>
                <w:lang w:val="sl-SI"/>
              </w:rPr>
              <w:t>579</w:t>
            </w:r>
          </w:p>
        </w:tc>
        <w:tc>
          <w:tcPr>
            <w:tcW w:w="688" w:type="dxa"/>
            <w:shd w:val="clear" w:color="auto" w:fill="E6E6E6"/>
            <w:vAlign w:val="center"/>
          </w:tcPr>
          <w:p w:rsidR="009E459C" w:rsidRPr="00FC7A12" w:rsidRDefault="009E459C" w:rsidP="00101B95">
            <w:pPr>
              <w:jc w:val="center"/>
              <w:rPr>
                <w:b/>
                <w:lang w:val="sl-SI"/>
              </w:rPr>
            </w:pPr>
            <w:r w:rsidRPr="00FC7A12">
              <w:rPr>
                <w:b/>
                <w:lang w:val="sl-SI"/>
              </w:rPr>
              <w:t>678</w:t>
            </w:r>
          </w:p>
        </w:tc>
      </w:tr>
    </w:tbl>
    <w:p w:rsidR="009E459C" w:rsidRPr="00FC7A12" w:rsidRDefault="009E459C" w:rsidP="009E459C">
      <w:pPr>
        <w:jc w:val="both"/>
      </w:pPr>
    </w:p>
    <w:p w:rsidR="005601F0" w:rsidRPr="00FC7A12" w:rsidRDefault="005601F0" w:rsidP="00E34D60">
      <w:pPr>
        <w:jc w:val="both"/>
        <w:rPr>
          <w:lang w:val="sl-SI"/>
        </w:rPr>
      </w:pPr>
    </w:p>
    <w:p w:rsidR="009E459C" w:rsidRPr="00FC7A12" w:rsidRDefault="001E0992" w:rsidP="00E34D60">
      <w:pPr>
        <w:autoSpaceDE w:val="0"/>
        <w:autoSpaceDN w:val="0"/>
        <w:adjustRightInd w:val="0"/>
        <w:jc w:val="both"/>
        <w:rPr>
          <w:rFonts w:eastAsia="TimesNewRomanPSMT"/>
          <w:lang w:val="sl-SI" w:eastAsia="en-US"/>
        </w:rPr>
      </w:pPr>
      <w:r w:rsidRPr="00FC7A12">
        <w:rPr>
          <w:rFonts w:eastAsia="TimesNewRomanPSMT"/>
          <w:lang w:val="sl-SI" w:eastAsia="en-US"/>
        </w:rPr>
        <w:t xml:space="preserve">            Što se tiče preventivnih mjera, riječ je </w:t>
      </w:r>
      <w:r w:rsidR="0032191C" w:rsidRPr="00FC7A12">
        <w:rPr>
          <w:rFonts w:eastAsia="TimesNewRomanPSMT"/>
          <w:lang w:val="sl-SI" w:eastAsia="en-US"/>
        </w:rPr>
        <w:t xml:space="preserve">o </w:t>
      </w:r>
      <w:r w:rsidRPr="00FC7A12">
        <w:rPr>
          <w:rFonts w:eastAsia="TimesNewRomanPSMT"/>
          <w:lang w:val="sl-SI" w:eastAsia="en-US"/>
        </w:rPr>
        <w:t>aktivnostima koje se sprovode u kontinuitetu na planu edukacije zaposlenih po preduzećima i ustanovama po pitanju mjera koje treba preduzeti u slučaju izbijanja požara kao i pravilnog rukovanja protivpožarnom opremom.</w:t>
      </w:r>
    </w:p>
    <w:p w:rsidR="009E459C" w:rsidRPr="00FC7A12" w:rsidRDefault="009E459C" w:rsidP="009E459C">
      <w:pPr>
        <w:ind w:firstLine="720"/>
        <w:jc w:val="both"/>
        <w:rPr>
          <w:noProof/>
        </w:rPr>
      </w:pPr>
      <w:r w:rsidRPr="00FC7A12">
        <w:rPr>
          <w:noProof/>
        </w:rPr>
        <w:t>Kada je u pitanju nabavka lične i kolektivne opreme u 2020. godini nastavljeno je sa daljim opremanjem pripadnika Službe sa ličnom i kolektivnom zaštitnom opremom. Početkom godine krenulo se u realizaciju projekta “S</w:t>
      </w:r>
      <w:r w:rsidR="00017149">
        <w:rPr>
          <w:noProof/>
        </w:rPr>
        <w:t>ačuvajmo šume” u okviru kojeg je  nabavljeno</w:t>
      </w:r>
      <w:r w:rsidRPr="00FC7A12">
        <w:rPr>
          <w:noProof/>
        </w:rPr>
        <w:t xml:space="preserve"> 65 pari čizama za šumske požare, 50 zaštitnih maski za postojeće kacige za šumske požare</w:t>
      </w:r>
      <w:r w:rsidR="00017149">
        <w:rPr>
          <w:noProof/>
        </w:rPr>
        <w:t>,</w:t>
      </w:r>
      <w:r w:rsidRPr="00FC7A12">
        <w:rPr>
          <w:noProof/>
        </w:rPr>
        <w:t xml:space="preserve"> kao i 65 pari rukavica za tehničke intervencije. Vrijednost ovog projekta kojeg smo kandidovali na raspisani konkurs MUP-a Crne Gore iznosila je 10.000,00 €. </w:t>
      </w:r>
    </w:p>
    <w:p w:rsidR="009E459C" w:rsidRPr="00FC7A12" w:rsidRDefault="009E459C" w:rsidP="009E459C">
      <w:pPr>
        <w:ind w:firstLine="720"/>
        <w:jc w:val="both"/>
        <w:rPr>
          <w:noProof/>
        </w:rPr>
      </w:pPr>
      <w:r w:rsidRPr="00FC7A12">
        <w:rPr>
          <w:noProof/>
        </w:rPr>
        <w:t>Kroz projekat FLAT koj</w:t>
      </w:r>
      <w:r w:rsidR="00017149">
        <w:rPr>
          <w:noProof/>
        </w:rPr>
        <w:t>i se kofinansirao iz Prekogranič</w:t>
      </w:r>
      <w:r w:rsidRPr="00FC7A12">
        <w:rPr>
          <w:noProof/>
        </w:rPr>
        <w:t>nog progama Evropske unije Itali</w:t>
      </w:r>
      <w:r w:rsidR="00017149">
        <w:rPr>
          <w:noProof/>
        </w:rPr>
        <w:t>j</w:t>
      </w:r>
      <w:r w:rsidRPr="00FC7A12">
        <w:rPr>
          <w:noProof/>
        </w:rPr>
        <w:t>a-Albanija-Crna Gora,  nabavljena je određana količina kolektivne opreme u</w:t>
      </w:r>
      <w:r w:rsidR="00017149">
        <w:rPr>
          <w:noProof/>
        </w:rPr>
        <w:t xml:space="preserve"> vrijednosti od oko 6</w:t>
      </w:r>
      <w:r w:rsidRPr="00FC7A12">
        <w:rPr>
          <w:noProof/>
        </w:rPr>
        <w:t>.000,00 €,  a koja uključuje tri kompleta za spasioca za spašavanje u poplavama (suvo odijelo, pododijelo, zaštitna kaciga, prsluk za spašavanje, spasilački nož, čizmice, vodootporne patike, rukavice, torbica sa plutajućim užetom, zviždaljka), kao i jedan komplet za spasioca za motorne sanke (jakna, pantalone, čizme, rukavice, kaciga, dukserica, aktivni veš i čarape).</w:t>
      </w:r>
    </w:p>
    <w:p w:rsidR="009E459C" w:rsidRPr="00FC7A12" w:rsidRDefault="009E459C" w:rsidP="00E141C1">
      <w:pPr>
        <w:ind w:firstLine="720"/>
        <w:jc w:val="both"/>
        <w:rPr>
          <w:noProof/>
        </w:rPr>
      </w:pPr>
      <w:r w:rsidRPr="00FC7A12">
        <w:rPr>
          <w:noProof/>
        </w:rPr>
        <w:lastRenderedPageBreak/>
        <w:t>Iz sredstava Budžeta na</w:t>
      </w:r>
      <w:r w:rsidR="0081261B" w:rsidRPr="00FC7A12">
        <w:rPr>
          <w:noProof/>
        </w:rPr>
        <w:t xml:space="preserve">bavljeno je </w:t>
      </w:r>
      <w:r w:rsidRPr="00FC7A12">
        <w:rPr>
          <w:noProof/>
        </w:rPr>
        <w:t>65 radnih uniformi u vrijednosti od oko 9.000,00 €</w:t>
      </w:r>
      <w:r w:rsidR="00017149">
        <w:rPr>
          <w:noProof/>
        </w:rPr>
        <w:t>,</w:t>
      </w:r>
      <w:r w:rsidRPr="00FC7A12">
        <w:rPr>
          <w:noProof/>
        </w:rPr>
        <w:t xml:space="preserve"> a krajem godine raspisan je i tender za nabavku 57 odijela za prilaz vatri čija vrijednost iznosi oko 65.000,00 €.</w:t>
      </w:r>
    </w:p>
    <w:p w:rsidR="009E459C" w:rsidRPr="00FC7A12" w:rsidRDefault="009E459C" w:rsidP="00E34D60">
      <w:pPr>
        <w:autoSpaceDE w:val="0"/>
        <w:autoSpaceDN w:val="0"/>
        <w:adjustRightInd w:val="0"/>
        <w:jc w:val="both"/>
        <w:rPr>
          <w:rFonts w:eastAsia="TimesNewRomanPSMT"/>
          <w:lang w:val="sl-SI" w:eastAsia="en-US"/>
        </w:rPr>
      </w:pPr>
    </w:p>
    <w:p w:rsidR="001E0992" w:rsidRPr="00FC7A12" w:rsidRDefault="001E0992" w:rsidP="00E34D60">
      <w:pPr>
        <w:jc w:val="center"/>
      </w:pPr>
      <w:r w:rsidRPr="00FC7A12">
        <w:t>*</w:t>
      </w:r>
    </w:p>
    <w:p w:rsidR="007067E0" w:rsidRPr="00FC7A12" w:rsidRDefault="007067E0" w:rsidP="00E34D60">
      <w:pPr>
        <w:jc w:val="center"/>
      </w:pPr>
    </w:p>
    <w:p w:rsidR="00DA6509" w:rsidRPr="00FC7A12" w:rsidRDefault="00DD5B7B" w:rsidP="00E34D60">
      <w:pPr>
        <w:jc w:val="both"/>
      </w:pPr>
      <w:r w:rsidRPr="00FC7A12">
        <w:t xml:space="preserve">            Položaj </w:t>
      </w:r>
      <w:r w:rsidRPr="00FC7A12">
        <w:rPr>
          <w:b/>
        </w:rPr>
        <w:t>glavnog administratora</w:t>
      </w:r>
      <w:r w:rsidRPr="00FC7A12">
        <w:t xml:space="preserve"> u sistemu lokalne samouprave utvrđen je Zakonom o lokalnoj samoupravi, Statutom opštine i Odlukom o organizaciji i načinu rada lokalne uprave.  Glavni administrator vrši poslove drugostepenog organa iz nadležnosti organa i posebnih službi, koordinira rad organa i službi i to u izvršavanju poslova za koje je potrebna međusobna saradnja ( priprema propisa, akcionih planova, strateškog plana razvoja opštine i drugih razvojnih planova i programa, priprema izvještaja o njihovoj realizaciji i stručne infiormativne materijale, izvještaje o sprovođenu zako</w:t>
      </w:r>
      <w:r w:rsidR="005060E3" w:rsidRPr="00FC7A12">
        <w:t xml:space="preserve">na, opštinskih propisa i dr.); daje </w:t>
      </w:r>
      <w:r w:rsidRPr="00FC7A12">
        <w:t>mišljenje na akt</w:t>
      </w:r>
      <w:r w:rsidR="005060E3" w:rsidRPr="00FC7A12">
        <w:t xml:space="preserve">e o unutrašnjoj organizaciji i sistematizaciji organa </w:t>
      </w:r>
      <w:r w:rsidRPr="00FC7A12">
        <w:t>lokalne uprave</w:t>
      </w:r>
      <w:r w:rsidR="005060E3" w:rsidRPr="00FC7A12">
        <w:t>, posebnih i stručnih službi.</w:t>
      </w:r>
    </w:p>
    <w:p w:rsidR="00DD5B7B" w:rsidRPr="00FC7A12" w:rsidRDefault="00DD5B7B" w:rsidP="00E34D60">
      <w:pPr>
        <w:jc w:val="both"/>
      </w:pPr>
      <w:r w:rsidRPr="00FC7A12">
        <w:t xml:space="preserve">            </w:t>
      </w:r>
      <w:r w:rsidR="00DA6509" w:rsidRPr="00FC7A12">
        <w:t xml:space="preserve"> U 2020 .godini bilo je u radu 66</w:t>
      </w:r>
      <w:r w:rsidR="005060E3" w:rsidRPr="00FC7A12">
        <w:t xml:space="preserve"> </w:t>
      </w:r>
      <w:r w:rsidRPr="00FC7A12">
        <w:t>predmeta, i to:</w:t>
      </w:r>
      <w:r w:rsidR="00DA6509" w:rsidRPr="00FC7A12">
        <w:t xml:space="preserve"> 38 </w:t>
      </w:r>
      <w:r w:rsidRPr="00FC7A12">
        <w:t>predmeta redovnog odlučivanja po žalbi, i svi predme</w:t>
      </w:r>
      <w:r w:rsidR="00DA6509" w:rsidRPr="00FC7A12">
        <w:t>ti su riješeni, kao i 13</w:t>
      </w:r>
      <w:r w:rsidRPr="00FC7A12">
        <w:t xml:space="preserve">  predmeta u kojima su</w:t>
      </w:r>
      <w:r w:rsidR="00D55482" w:rsidRPr="00FC7A12">
        <w:t xml:space="preserve"> odluke donešene shodno članu 56 </w:t>
      </w:r>
      <w:r w:rsidRPr="00FC7A12">
        <w:t xml:space="preserve"> Zakona o upravnom sporu. </w:t>
      </w:r>
    </w:p>
    <w:p w:rsidR="00DD5B7B" w:rsidRPr="00FC7A12" w:rsidRDefault="00DD5B7B" w:rsidP="00E34D60">
      <w:pPr>
        <w:jc w:val="both"/>
      </w:pPr>
      <w:r w:rsidRPr="00FC7A12">
        <w:t xml:space="preserve">               </w:t>
      </w:r>
      <w:r w:rsidR="00D55482" w:rsidRPr="00FC7A12">
        <w:t xml:space="preserve"> </w:t>
      </w:r>
      <w:r w:rsidR="00DA6509" w:rsidRPr="00FC7A12">
        <w:t>U 8</w:t>
      </w:r>
      <w:r w:rsidR="005060E3" w:rsidRPr="00FC7A12">
        <w:t xml:space="preserve">  upr</w:t>
      </w:r>
      <w:r w:rsidR="00DA6509" w:rsidRPr="00FC7A12">
        <w:t>avnih sporova  dostavljeno je 8</w:t>
      </w:r>
      <w:r w:rsidR="005060E3" w:rsidRPr="00FC7A12">
        <w:t xml:space="preserve"> </w:t>
      </w:r>
      <w:r w:rsidRPr="00FC7A12">
        <w:t>odgovora na tužbu Upravnom sudu Crne Gore.</w:t>
      </w:r>
    </w:p>
    <w:p w:rsidR="00DD5B7B" w:rsidRPr="00FC7A12" w:rsidRDefault="00DD5B7B" w:rsidP="00E34D60">
      <w:pPr>
        <w:jc w:val="both"/>
        <w:rPr>
          <w:b/>
          <w:color w:val="FF0000"/>
        </w:rPr>
      </w:pPr>
      <w:r w:rsidRPr="00FC7A12">
        <w:t xml:space="preserve">           </w:t>
      </w:r>
      <w:r w:rsidR="00A27C79" w:rsidRPr="00FC7A12">
        <w:t xml:space="preserve">   Podnijeto je 6</w:t>
      </w:r>
      <w:r w:rsidRPr="00FC7A12">
        <w:t xml:space="preserve"> zah</w:t>
      </w:r>
      <w:r w:rsidR="005060E3" w:rsidRPr="00FC7A12">
        <w:t xml:space="preserve">tjeva za ispitivanje </w:t>
      </w:r>
      <w:r w:rsidRPr="00FC7A12">
        <w:t xml:space="preserve"> sudskih odluka u kojima je dostavljen odgovor na zahtjev Vrhovnom sudu Crne Gore</w:t>
      </w:r>
      <w:r w:rsidRPr="00FC7A12">
        <w:rPr>
          <w:b/>
          <w:color w:val="000000" w:themeColor="text1"/>
        </w:rPr>
        <w:t>.</w:t>
      </w:r>
      <w:r w:rsidRPr="00FC7A12">
        <w:rPr>
          <w:b/>
          <w:color w:val="FF0000"/>
        </w:rPr>
        <w:t xml:space="preserve"> </w:t>
      </w:r>
    </w:p>
    <w:p w:rsidR="001E0992" w:rsidRPr="00FC7A12" w:rsidRDefault="001E0992" w:rsidP="00E34D60">
      <w:pPr>
        <w:jc w:val="both"/>
        <w:rPr>
          <w:color w:val="FF0000"/>
        </w:rPr>
      </w:pPr>
    </w:p>
    <w:p w:rsidR="001E0992" w:rsidRPr="00FC7A12" w:rsidRDefault="00BC764F" w:rsidP="00E34D60">
      <w:pPr>
        <w:jc w:val="both"/>
        <w:rPr>
          <w:color w:val="000000" w:themeColor="text1"/>
        </w:rPr>
      </w:pPr>
      <w:r w:rsidRPr="00FC7A12">
        <w:rPr>
          <w:color w:val="000000" w:themeColor="text1"/>
        </w:rPr>
        <w:t xml:space="preserve">           </w:t>
      </w:r>
      <w:r w:rsidR="001E0992" w:rsidRPr="00FC7A12">
        <w:rPr>
          <w:color w:val="000000" w:themeColor="text1"/>
        </w:rPr>
        <w:t>Pregled broja upravnih predmeta u kojim je izjavljena žalba:</w:t>
      </w:r>
    </w:p>
    <w:p w:rsidR="00566051" w:rsidRPr="00FC7A12" w:rsidRDefault="00566051" w:rsidP="00E34D60">
      <w:pPr>
        <w:ind w:firstLine="360"/>
        <w:jc w:val="both"/>
        <w:rPr>
          <w:color w:val="000000" w:themeColor="text1"/>
        </w:rPr>
      </w:pPr>
    </w:p>
    <w:p w:rsidR="001E0992" w:rsidRPr="00FC7A12" w:rsidRDefault="001E0992" w:rsidP="00E34D60">
      <w:pPr>
        <w:pStyle w:val="ListParagraph"/>
        <w:numPr>
          <w:ilvl w:val="1"/>
          <w:numId w:val="4"/>
        </w:numPr>
        <w:jc w:val="both"/>
        <w:rPr>
          <w:color w:val="000000" w:themeColor="text1"/>
        </w:rPr>
      </w:pPr>
      <w:r w:rsidRPr="00FC7A12">
        <w:rPr>
          <w:color w:val="000000" w:themeColor="text1"/>
        </w:rPr>
        <w:t>Uprava lokalnih javnih prihoda .................................</w:t>
      </w:r>
      <w:r w:rsidR="009E182D" w:rsidRPr="00FC7A12">
        <w:rPr>
          <w:color w:val="000000" w:themeColor="text1"/>
        </w:rPr>
        <w:t>.</w:t>
      </w:r>
      <w:r w:rsidR="00D93CCA" w:rsidRPr="00FC7A12">
        <w:rPr>
          <w:color w:val="000000" w:themeColor="text1"/>
        </w:rPr>
        <w:t>...................</w:t>
      </w:r>
      <w:r w:rsidR="00E34D60" w:rsidRPr="00FC7A12">
        <w:rPr>
          <w:color w:val="000000" w:themeColor="text1"/>
        </w:rPr>
        <w:t>.................</w:t>
      </w:r>
      <w:r w:rsidR="003D1E05" w:rsidRPr="00FC7A12">
        <w:rPr>
          <w:color w:val="000000" w:themeColor="text1"/>
        </w:rPr>
        <w:t>26</w:t>
      </w:r>
    </w:p>
    <w:p w:rsidR="001E0992" w:rsidRPr="00FC7A12" w:rsidRDefault="003D1E05" w:rsidP="00E34D60">
      <w:pPr>
        <w:pStyle w:val="ListParagraph"/>
        <w:numPr>
          <w:ilvl w:val="1"/>
          <w:numId w:val="4"/>
        </w:numPr>
        <w:jc w:val="both"/>
        <w:rPr>
          <w:color w:val="000000" w:themeColor="text1"/>
        </w:rPr>
      </w:pPr>
      <w:r w:rsidRPr="00FC7A12">
        <w:rPr>
          <w:color w:val="000000" w:themeColor="text1"/>
        </w:rPr>
        <w:t>Direkcija za uređenje prostora i zaštitu životne sredine</w:t>
      </w:r>
      <w:r w:rsidR="001E0992" w:rsidRPr="00FC7A12">
        <w:rPr>
          <w:color w:val="000000" w:themeColor="text1"/>
        </w:rPr>
        <w:t xml:space="preserve"> ...</w:t>
      </w:r>
      <w:r w:rsidRPr="00FC7A12">
        <w:rPr>
          <w:color w:val="000000" w:themeColor="text1"/>
        </w:rPr>
        <w:t>..........</w:t>
      </w:r>
      <w:r w:rsidR="001E0992" w:rsidRPr="00FC7A12">
        <w:rPr>
          <w:color w:val="000000" w:themeColor="text1"/>
        </w:rPr>
        <w:t>...</w:t>
      </w:r>
      <w:r w:rsidR="00566051" w:rsidRPr="00FC7A12">
        <w:rPr>
          <w:color w:val="000000" w:themeColor="text1"/>
        </w:rPr>
        <w:t>.</w:t>
      </w:r>
      <w:r w:rsidR="001E0992" w:rsidRPr="00FC7A12">
        <w:rPr>
          <w:color w:val="000000" w:themeColor="text1"/>
        </w:rPr>
        <w:t>........</w:t>
      </w:r>
      <w:r w:rsidR="00566051" w:rsidRPr="00FC7A12">
        <w:rPr>
          <w:color w:val="000000" w:themeColor="text1"/>
        </w:rPr>
        <w:t>.</w:t>
      </w:r>
      <w:r w:rsidR="00E34D60" w:rsidRPr="00FC7A12">
        <w:rPr>
          <w:color w:val="000000" w:themeColor="text1"/>
        </w:rPr>
        <w:t>.......</w:t>
      </w:r>
      <w:r w:rsidRPr="00FC7A12">
        <w:rPr>
          <w:color w:val="000000" w:themeColor="text1"/>
        </w:rPr>
        <w:t xml:space="preserve"> 2</w:t>
      </w:r>
    </w:p>
    <w:p w:rsidR="00BC3533" w:rsidRPr="00FC7A12" w:rsidRDefault="00BC3533" w:rsidP="00E34D60">
      <w:pPr>
        <w:pStyle w:val="ListParagraph"/>
        <w:numPr>
          <w:ilvl w:val="1"/>
          <w:numId w:val="4"/>
        </w:numPr>
        <w:jc w:val="both"/>
        <w:rPr>
          <w:color w:val="000000" w:themeColor="text1"/>
        </w:rPr>
      </w:pPr>
      <w:r w:rsidRPr="00FC7A12">
        <w:rPr>
          <w:color w:val="000000" w:themeColor="text1"/>
        </w:rPr>
        <w:t>Sekretarijat za inspekcijski nadzor................................................</w:t>
      </w:r>
      <w:r w:rsidR="00BC764F" w:rsidRPr="00FC7A12">
        <w:rPr>
          <w:color w:val="000000" w:themeColor="text1"/>
        </w:rPr>
        <w:t>....................</w:t>
      </w:r>
      <w:r w:rsidR="003D1E05" w:rsidRPr="00FC7A12">
        <w:rPr>
          <w:color w:val="000000" w:themeColor="text1"/>
        </w:rPr>
        <w:t>8</w:t>
      </w:r>
    </w:p>
    <w:p w:rsidR="00F114E0" w:rsidRPr="00FC7A12" w:rsidRDefault="003D1E05" w:rsidP="00E34D60">
      <w:pPr>
        <w:pStyle w:val="ListParagraph"/>
        <w:numPr>
          <w:ilvl w:val="1"/>
          <w:numId w:val="4"/>
        </w:numPr>
        <w:jc w:val="both"/>
        <w:rPr>
          <w:color w:val="000000" w:themeColor="text1"/>
        </w:rPr>
      </w:pPr>
      <w:r w:rsidRPr="00FC7A12">
        <w:rPr>
          <w:color w:val="000000" w:themeColor="text1"/>
        </w:rPr>
        <w:t>Sekretarijat za kulturu, sport, mlade i socijalno staranje……………</w:t>
      </w:r>
      <w:r w:rsidR="00E34D60" w:rsidRPr="00FC7A12">
        <w:rPr>
          <w:color w:val="000000" w:themeColor="text1"/>
        </w:rPr>
        <w:t>……</w:t>
      </w:r>
      <w:r w:rsidRPr="00FC7A12">
        <w:rPr>
          <w:color w:val="000000" w:themeColor="text1"/>
        </w:rPr>
        <w:t>…..1</w:t>
      </w:r>
    </w:p>
    <w:p w:rsidR="00A20FBB" w:rsidRPr="00FC7A12" w:rsidRDefault="001E0992" w:rsidP="00E34D60">
      <w:pPr>
        <w:ind w:left="360"/>
        <w:jc w:val="both"/>
        <w:rPr>
          <w:color w:val="000000" w:themeColor="text1"/>
        </w:rPr>
      </w:pPr>
      <w:r w:rsidRPr="00FC7A12">
        <w:rPr>
          <w:color w:val="000000" w:themeColor="text1"/>
        </w:rPr>
        <w:t xml:space="preserve">                      </w:t>
      </w:r>
      <w:r w:rsidRPr="00FC7A12">
        <w:rPr>
          <w:color w:val="000000" w:themeColor="text1"/>
        </w:rPr>
        <w:tab/>
      </w:r>
      <w:r w:rsidRPr="00FC7A12">
        <w:rPr>
          <w:color w:val="000000" w:themeColor="text1"/>
        </w:rPr>
        <w:tab/>
      </w:r>
      <w:r w:rsidRPr="00FC7A12">
        <w:rPr>
          <w:color w:val="000000" w:themeColor="text1"/>
        </w:rPr>
        <w:tab/>
      </w:r>
      <w:r w:rsidRPr="00FC7A12">
        <w:rPr>
          <w:color w:val="000000" w:themeColor="text1"/>
        </w:rPr>
        <w:tab/>
      </w:r>
      <w:r w:rsidRPr="00FC7A12">
        <w:rPr>
          <w:color w:val="000000" w:themeColor="text1"/>
        </w:rPr>
        <w:tab/>
      </w:r>
      <w:r w:rsidRPr="00FC7A12">
        <w:rPr>
          <w:color w:val="000000" w:themeColor="text1"/>
        </w:rPr>
        <w:tab/>
      </w:r>
      <w:r w:rsidRPr="00FC7A12">
        <w:rPr>
          <w:color w:val="000000" w:themeColor="text1"/>
        </w:rPr>
        <w:tab/>
      </w:r>
      <w:r w:rsidRPr="00FC7A12">
        <w:rPr>
          <w:color w:val="000000" w:themeColor="text1"/>
        </w:rPr>
        <w:tab/>
      </w:r>
    </w:p>
    <w:p w:rsidR="001E0992" w:rsidRPr="00FC7A12" w:rsidRDefault="00A20FBB" w:rsidP="00E34D60">
      <w:pPr>
        <w:jc w:val="both"/>
        <w:rPr>
          <w:color w:val="FF0000"/>
        </w:rPr>
      </w:pPr>
      <w:r w:rsidRPr="00FC7A12">
        <w:rPr>
          <w:color w:val="FF0000"/>
        </w:rPr>
        <w:t xml:space="preserve">       </w:t>
      </w:r>
    </w:p>
    <w:p w:rsidR="001E0992" w:rsidRPr="00FC7A12" w:rsidRDefault="001E0992" w:rsidP="00E34D60">
      <w:pPr>
        <w:jc w:val="center"/>
      </w:pPr>
      <w:r w:rsidRPr="00FC7A12">
        <w:t>*</w:t>
      </w:r>
    </w:p>
    <w:p w:rsidR="001E0992" w:rsidRPr="00FC7A12" w:rsidRDefault="001E0992" w:rsidP="00E34D60">
      <w:pPr>
        <w:widowControl w:val="0"/>
        <w:autoSpaceDE w:val="0"/>
        <w:autoSpaceDN w:val="0"/>
        <w:adjustRightInd w:val="0"/>
        <w:jc w:val="both"/>
      </w:pPr>
      <w:r w:rsidRPr="00FC7A12">
        <w:t xml:space="preserve"> </w:t>
      </w:r>
      <w:r w:rsidRPr="00FC7A12">
        <w:tab/>
      </w:r>
    </w:p>
    <w:p w:rsidR="001E0992" w:rsidRPr="00FC7A12" w:rsidRDefault="0036529F" w:rsidP="00E34D60">
      <w:pPr>
        <w:widowControl w:val="0"/>
        <w:autoSpaceDE w:val="0"/>
        <w:autoSpaceDN w:val="0"/>
        <w:adjustRightInd w:val="0"/>
        <w:jc w:val="both"/>
      </w:pPr>
      <w:r w:rsidRPr="00FC7A12">
        <w:t xml:space="preserve">           </w:t>
      </w:r>
      <w:r w:rsidR="001E0992" w:rsidRPr="00FC7A12">
        <w:t xml:space="preserve">U izvještajnom periodu </w:t>
      </w:r>
      <w:r w:rsidR="001E0992" w:rsidRPr="00FC7A12">
        <w:rPr>
          <w:b/>
          <w:bCs/>
        </w:rPr>
        <w:t xml:space="preserve">Služba </w:t>
      </w:r>
      <w:r w:rsidR="00E34D60" w:rsidRPr="00FC7A12">
        <w:rPr>
          <w:b/>
          <w:bCs/>
        </w:rPr>
        <w:t>za saradnju, poslove predsjednika i informisanje</w:t>
      </w:r>
      <w:r w:rsidR="001E0992" w:rsidRPr="00FC7A12">
        <w:t xml:space="preserve"> je obavljala stručne i administrativno tehničke poslove koji se odnose na ostvarivanje funkcije predsjednik</w:t>
      </w:r>
      <w:r w:rsidR="00506F3F" w:rsidRPr="00FC7A12">
        <w:t>a, kao izvršnog organa Opštine i potpredsjednika.</w:t>
      </w:r>
      <w:r w:rsidR="001E0992" w:rsidRPr="00FC7A12">
        <w:t xml:space="preserve">   </w:t>
      </w:r>
    </w:p>
    <w:p w:rsidR="001E0992" w:rsidRPr="00FC7A12" w:rsidRDefault="001E0992" w:rsidP="00E34D60">
      <w:pPr>
        <w:widowControl w:val="0"/>
        <w:autoSpaceDE w:val="0"/>
        <w:autoSpaceDN w:val="0"/>
        <w:adjustRightInd w:val="0"/>
        <w:jc w:val="both"/>
      </w:pPr>
      <w:r w:rsidRPr="00FC7A12">
        <w:t xml:space="preserve"> </w:t>
      </w:r>
      <w:r w:rsidR="0036529F" w:rsidRPr="00FC7A12">
        <w:t xml:space="preserve">  </w:t>
      </w:r>
      <w:r w:rsidRPr="00FC7A12">
        <w:t xml:space="preserve">  </w:t>
      </w:r>
      <w:r w:rsidR="0036529F" w:rsidRPr="00FC7A12">
        <w:t xml:space="preserve">   </w:t>
      </w:r>
      <w:r w:rsidRPr="00FC7A12">
        <w:t xml:space="preserve"> Obrađen je veliki broj odluka, zaključaka, rješenja i drugih akata koje donose preds</w:t>
      </w:r>
      <w:r w:rsidR="00674790" w:rsidRPr="00FC7A12">
        <w:t>jednik i potpredsjednici</w:t>
      </w:r>
      <w:r w:rsidR="00646A50" w:rsidRPr="00FC7A12">
        <w:t>. P</w:t>
      </w:r>
      <w:r w:rsidRPr="00FC7A12">
        <w:t>ripremljen je značajan broj ugovora i sporazuma zaključenih između Opštine, koju su zastupali predsjednik ili potpredsjednici Opštine i drugih pravnih i fizičkih lica.</w:t>
      </w:r>
    </w:p>
    <w:p w:rsidR="001E0992" w:rsidRPr="00FC7A12" w:rsidRDefault="001E0992" w:rsidP="00E34D60">
      <w:pPr>
        <w:widowControl w:val="0"/>
        <w:autoSpaceDE w:val="0"/>
        <w:autoSpaceDN w:val="0"/>
        <w:adjustRightInd w:val="0"/>
        <w:jc w:val="both"/>
      </w:pPr>
      <w:r w:rsidRPr="00FC7A12">
        <w:t xml:space="preserve">    </w:t>
      </w:r>
      <w:r w:rsidR="0036529F" w:rsidRPr="00FC7A12">
        <w:t xml:space="preserve">   </w:t>
      </w:r>
      <w:r w:rsidRPr="00FC7A12">
        <w:t xml:space="preserve">   Služba se starala o ostvarivanju svih oblika saradnje predsjednika Opštine sa Skupštinom i Vladom  Crne Gore, državnim institucijama,  drugim opštinama i gradovima u zemlji i inostranstvu, diplomatsko-konzularnim predstavništima, nevladinim i međunarodnim organizacijam</w:t>
      </w:r>
      <w:r w:rsidR="000F2F2F" w:rsidRPr="00FC7A12">
        <w:t xml:space="preserve">a, asocijacijama i udruženjima. </w:t>
      </w:r>
      <w:r w:rsidRPr="00FC7A12">
        <w:t xml:space="preserve">Vršila je pismenu i usmenu korespodenciju sa navedenim subjektima i pripremala sastanke sa njihovim delegacijama.     </w:t>
      </w:r>
    </w:p>
    <w:p w:rsidR="001E0992" w:rsidRPr="00FC7A12" w:rsidRDefault="001E0992" w:rsidP="00E34D60">
      <w:pPr>
        <w:widowControl w:val="0"/>
        <w:autoSpaceDE w:val="0"/>
        <w:autoSpaceDN w:val="0"/>
        <w:adjustRightInd w:val="0"/>
        <w:jc w:val="both"/>
      </w:pPr>
      <w:r w:rsidRPr="00FC7A12">
        <w:t xml:space="preserve"> </w:t>
      </w:r>
      <w:r w:rsidR="0036529F" w:rsidRPr="00FC7A12">
        <w:t xml:space="preserve">      </w:t>
      </w:r>
      <w:r w:rsidRPr="00FC7A12">
        <w:t xml:space="preserve">  Služba je takođe, pripremala i realizovala press konferencije, ostvarivala komunikaciju sa medijima, upućivala informacije medijima i pripremala saopštenja za javnost za potrebe Opštine. Između ostalog, ostvarivana je saradnja i komunikacija sa ostalim organima lokalne uprave i Zajednicom opština Crne Gore, u cilju informisanja o aktivnostima od značaja za Opštinu.  </w:t>
      </w:r>
    </w:p>
    <w:p w:rsidR="001E0992" w:rsidRPr="00FC7A12" w:rsidRDefault="001E0992" w:rsidP="00E34D60">
      <w:pPr>
        <w:widowControl w:val="0"/>
        <w:autoSpaceDE w:val="0"/>
        <w:autoSpaceDN w:val="0"/>
        <w:adjustRightInd w:val="0"/>
        <w:ind w:firstLine="360"/>
        <w:jc w:val="both"/>
      </w:pPr>
      <w:r w:rsidRPr="00FC7A12">
        <w:lastRenderedPageBreak/>
        <w:t>Pripremani su i organizovani sastanci predsjednika Opštine sa predstavnicima organa lokalne uprave, preduzeća, ustanova i drugim subjektima</w:t>
      </w:r>
      <w:r w:rsidR="00674790" w:rsidRPr="00FC7A12">
        <w:t>.</w:t>
      </w:r>
    </w:p>
    <w:p w:rsidR="001E0992" w:rsidRPr="00FC7A12" w:rsidRDefault="001E0992" w:rsidP="00E34D60">
      <w:pPr>
        <w:widowControl w:val="0"/>
        <w:autoSpaceDE w:val="0"/>
        <w:autoSpaceDN w:val="0"/>
        <w:adjustRightInd w:val="0"/>
        <w:jc w:val="both"/>
        <w:rPr>
          <w:color w:val="000000" w:themeColor="text1"/>
        </w:rPr>
      </w:pPr>
    </w:p>
    <w:p w:rsidR="001E0992" w:rsidRPr="00FC7A12" w:rsidRDefault="001E0992" w:rsidP="00E34D60">
      <w:pPr>
        <w:widowControl w:val="0"/>
        <w:autoSpaceDE w:val="0"/>
        <w:autoSpaceDN w:val="0"/>
        <w:adjustRightInd w:val="0"/>
        <w:ind w:firstLine="360"/>
        <w:jc w:val="both"/>
        <w:rPr>
          <w:bCs/>
          <w:color w:val="000000" w:themeColor="text1"/>
        </w:rPr>
      </w:pPr>
      <w:r w:rsidRPr="00FC7A12">
        <w:rPr>
          <w:bCs/>
          <w:color w:val="000000" w:themeColor="text1"/>
        </w:rPr>
        <w:t xml:space="preserve">Služba </w:t>
      </w:r>
      <w:r w:rsidR="00E34D60" w:rsidRPr="00FC7A12">
        <w:rPr>
          <w:bCs/>
          <w:color w:val="000000" w:themeColor="text1"/>
        </w:rPr>
        <w:t xml:space="preserve">za saradnju, poslove predsjednika i informisanje </w:t>
      </w:r>
      <w:r w:rsidRPr="00FC7A12">
        <w:rPr>
          <w:bCs/>
          <w:color w:val="000000" w:themeColor="text1"/>
        </w:rPr>
        <w:t xml:space="preserve">je u okviru svojih  poslova </w:t>
      </w:r>
      <w:r w:rsidR="00226635" w:rsidRPr="00FC7A12">
        <w:rPr>
          <w:bCs/>
          <w:color w:val="000000" w:themeColor="text1"/>
        </w:rPr>
        <w:t xml:space="preserve"> </w:t>
      </w:r>
      <w:r w:rsidR="00F45D11" w:rsidRPr="00FC7A12">
        <w:rPr>
          <w:bCs/>
          <w:color w:val="000000" w:themeColor="text1"/>
        </w:rPr>
        <w:t xml:space="preserve"> učestvovala u  organizaciji  i realizaciji sljedećih  dogadjaja</w:t>
      </w:r>
      <w:r w:rsidRPr="00FC7A12">
        <w:rPr>
          <w:bCs/>
          <w:color w:val="000000" w:themeColor="text1"/>
        </w:rPr>
        <w:t>:</w:t>
      </w:r>
    </w:p>
    <w:p w:rsidR="00FF4322" w:rsidRPr="00FC7A12" w:rsidRDefault="003255F7" w:rsidP="003255F7">
      <w:pPr>
        <w:pStyle w:val="ListParagraph"/>
        <w:widowControl w:val="0"/>
        <w:numPr>
          <w:ilvl w:val="0"/>
          <w:numId w:val="33"/>
        </w:numPr>
        <w:autoSpaceDE w:val="0"/>
        <w:autoSpaceDN w:val="0"/>
        <w:adjustRightInd w:val="0"/>
        <w:jc w:val="both"/>
        <w:rPr>
          <w:bCs/>
          <w:color w:val="000000" w:themeColor="text1"/>
        </w:rPr>
      </w:pPr>
      <w:r w:rsidRPr="00FC7A12">
        <w:rPr>
          <w:bCs/>
          <w:color w:val="000000" w:themeColor="text1"/>
        </w:rPr>
        <w:t>Otvaranje vodovoda Pilatovci</w:t>
      </w:r>
      <w:r w:rsidR="006B108E">
        <w:rPr>
          <w:bCs/>
          <w:color w:val="000000" w:themeColor="text1"/>
        </w:rPr>
        <w:t>;</w:t>
      </w:r>
    </w:p>
    <w:p w:rsidR="003255F7" w:rsidRPr="00FC7A12" w:rsidRDefault="003255F7" w:rsidP="003255F7">
      <w:pPr>
        <w:pStyle w:val="ListParagraph"/>
        <w:widowControl w:val="0"/>
        <w:numPr>
          <w:ilvl w:val="0"/>
          <w:numId w:val="33"/>
        </w:numPr>
        <w:autoSpaceDE w:val="0"/>
        <w:autoSpaceDN w:val="0"/>
        <w:adjustRightInd w:val="0"/>
        <w:jc w:val="both"/>
        <w:rPr>
          <w:bCs/>
          <w:color w:val="000000" w:themeColor="text1"/>
        </w:rPr>
      </w:pPr>
      <w:r w:rsidRPr="00FC7A12">
        <w:rPr>
          <w:bCs/>
          <w:color w:val="000000" w:themeColor="text1"/>
        </w:rPr>
        <w:t>Otvaranje vodovoda Prijespa</w:t>
      </w:r>
      <w:r w:rsidR="006B108E">
        <w:rPr>
          <w:bCs/>
          <w:color w:val="000000" w:themeColor="text1"/>
        </w:rPr>
        <w:t>;</w:t>
      </w:r>
    </w:p>
    <w:p w:rsidR="003255F7" w:rsidRPr="00FC7A12" w:rsidRDefault="003255F7" w:rsidP="003255F7">
      <w:pPr>
        <w:pStyle w:val="ListParagraph"/>
        <w:widowControl w:val="0"/>
        <w:numPr>
          <w:ilvl w:val="0"/>
          <w:numId w:val="33"/>
        </w:numPr>
        <w:autoSpaceDE w:val="0"/>
        <w:autoSpaceDN w:val="0"/>
        <w:adjustRightInd w:val="0"/>
        <w:jc w:val="both"/>
        <w:rPr>
          <w:bCs/>
          <w:color w:val="000000" w:themeColor="text1"/>
        </w:rPr>
      </w:pPr>
      <w:r w:rsidRPr="00FC7A12">
        <w:rPr>
          <w:bCs/>
          <w:color w:val="000000" w:themeColor="text1"/>
        </w:rPr>
        <w:t xml:space="preserve">Otvaranje rekonstruisanog dijela Doma revolucije (IDEA </w:t>
      </w:r>
      <w:r w:rsidR="00E96F0D" w:rsidRPr="00FC7A12">
        <w:rPr>
          <w:bCs/>
          <w:color w:val="000000" w:themeColor="text1"/>
        </w:rPr>
        <w:t>i</w:t>
      </w:r>
      <w:r w:rsidRPr="00FC7A12">
        <w:rPr>
          <w:bCs/>
          <w:color w:val="000000" w:themeColor="text1"/>
        </w:rPr>
        <w:t xml:space="preserve"> Inter sport)</w:t>
      </w:r>
      <w:r w:rsidR="006B108E">
        <w:rPr>
          <w:bCs/>
          <w:color w:val="000000" w:themeColor="text1"/>
        </w:rPr>
        <w:t>;</w:t>
      </w:r>
    </w:p>
    <w:p w:rsidR="003255F7" w:rsidRPr="00FC7A12" w:rsidRDefault="003255F7" w:rsidP="003255F7">
      <w:pPr>
        <w:pStyle w:val="ListParagraph"/>
        <w:widowControl w:val="0"/>
        <w:numPr>
          <w:ilvl w:val="0"/>
          <w:numId w:val="33"/>
        </w:numPr>
        <w:autoSpaceDE w:val="0"/>
        <w:autoSpaceDN w:val="0"/>
        <w:adjustRightInd w:val="0"/>
        <w:jc w:val="both"/>
        <w:rPr>
          <w:bCs/>
          <w:color w:val="000000" w:themeColor="text1"/>
        </w:rPr>
      </w:pPr>
      <w:r w:rsidRPr="00FC7A12">
        <w:rPr>
          <w:bCs/>
          <w:color w:val="000000" w:themeColor="text1"/>
        </w:rPr>
        <w:t>Prijem karatiste Predraga Smolovića povodom osvajanja srebrne medalje na Evropskom prvenstvu za kadete, juniore i mlađe seniore u B</w:t>
      </w:r>
      <w:r w:rsidR="00435F1A" w:rsidRPr="00FC7A12">
        <w:rPr>
          <w:bCs/>
          <w:color w:val="000000" w:themeColor="text1"/>
        </w:rPr>
        <w:t>udimpešti</w:t>
      </w:r>
      <w:r w:rsidR="006B108E">
        <w:rPr>
          <w:bCs/>
          <w:color w:val="000000" w:themeColor="text1"/>
        </w:rPr>
        <w:t>;</w:t>
      </w:r>
    </w:p>
    <w:p w:rsidR="00435F1A" w:rsidRPr="00FC7A12" w:rsidRDefault="00435F1A" w:rsidP="00600C54">
      <w:pPr>
        <w:pStyle w:val="ListParagraph"/>
        <w:widowControl w:val="0"/>
        <w:numPr>
          <w:ilvl w:val="0"/>
          <w:numId w:val="33"/>
        </w:numPr>
        <w:autoSpaceDE w:val="0"/>
        <w:autoSpaceDN w:val="0"/>
        <w:adjustRightInd w:val="0"/>
        <w:jc w:val="both"/>
        <w:rPr>
          <w:bCs/>
          <w:color w:val="000000" w:themeColor="text1"/>
        </w:rPr>
      </w:pPr>
      <w:r w:rsidRPr="00FC7A12">
        <w:rPr>
          <w:bCs/>
          <w:color w:val="000000" w:themeColor="text1"/>
        </w:rPr>
        <w:t>S</w:t>
      </w:r>
      <w:r w:rsidR="003255F7" w:rsidRPr="00FC7A12">
        <w:rPr>
          <w:bCs/>
          <w:color w:val="000000" w:themeColor="text1"/>
        </w:rPr>
        <w:t>astanak sa predstavnicama ženskog preduzetništva iz našeg grada</w:t>
      </w:r>
      <w:r w:rsidRPr="00FC7A12">
        <w:rPr>
          <w:bCs/>
          <w:color w:val="000000" w:themeColor="text1"/>
        </w:rPr>
        <w:t xml:space="preserve"> </w:t>
      </w:r>
      <w:r w:rsidR="003255F7" w:rsidRPr="00FC7A12">
        <w:rPr>
          <w:bCs/>
          <w:color w:val="000000" w:themeColor="text1"/>
        </w:rPr>
        <w:t xml:space="preserve"> </w:t>
      </w:r>
    </w:p>
    <w:p w:rsidR="003255F7" w:rsidRPr="00FC7A12" w:rsidRDefault="00435F1A" w:rsidP="00600C54">
      <w:pPr>
        <w:pStyle w:val="ListParagraph"/>
        <w:widowControl w:val="0"/>
        <w:numPr>
          <w:ilvl w:val="0"/>
          <w:numId w:val="33"/>
        </w:numPr>
        <w:autoSpaceDE w:val="0"/>
        <w:autoSpaceDN w:val="0"/>
        <w:adjustRightInd w:val="0"/>
        <w:jc w:val="both"/>
        <w:rPr>
          <w:bCs/>
          <w:color w:val="000000" w:themeColor="text1"/>
        </w:rPr>
      </w:pPr>
      <w:r w:rsidRPr="00FC7A12">
        <w:rPr>
          <w:bCs/>
          <w:color w:val="000000" w:themeColor="text1"/>
        </w:rPr>
        <w:t>P</w:t>
      </w:r>
      <w:r w:rsidR="003255F7" w:rsidRPr="00FC7A12">
        <w:rPr>
          <w:bCs/>
          <w:color w:val="000000" w:themeColor="text1"/>
        </w:rPr>
        <w:t>rijem visokoškolaca povodom nastavka Programa podsticanja zapošljavanja mladih u opštini Nikšić, koji se im</w:t>
      </w:r>
      <w:r w:rsidRPr="00FC7A12">
        <w:rPr>
          <w:bCs/>
          <w:color w:val="000000" w:themeColor="text1"/>
        </w:rPr>
        <w:t xml:space="preserve">plementira od juna 2019. </w:t>
      </w:r>
      <w:r w:rsidR="006B108E">
        <w:rPr>
          <w:bCs/>
          <w:color w:val="000000" w:themeColor="text1"/>
        </w:rPr>
        <w:t>g</w:t>
      </w:r>
      <w:r w:rsidRPr="00FC7A12">
        <w:rPr>
          <w:bCs/>
          <w:color w:val="000000" w:themeColor="text1"/>
        </w:rPr>
        <w:t>odine</w:t>
      </w:r>
      <w:r w:rsidR="006B108E">
        <w:rPr>
          <w:bCs/>
          <w:color w:val="000000" w:themeColor="text1"/>
        </w:rPr>
        <w:t>;</w:t>
      </w:r>
    </w:p>
    <w:p w:rsidR="00FB0C02" w:rsidRPr="00FC7A12" w:rsidRDefault="003255F7" w:rsidP="00435F1A">
      <w:pPr>
        <w:pStyle w:val="ListParagraph"/>
        <w:widowControl w:val="0"/>
        <w:numPr>
          <w:ilvl w:val="0"/>
          <w:numId w:val="33"/>
        </w:numPr>
        <w:autoSpaceDE w:val="0"/>
        <w:autoSpaceDN w:val="0"/>
        <w:adjustRightInd w:val="0"/>
        <w:jc w:val="both"/>
        <w:rPr>
          <w:b/>
        </w:rPr>
      </w:pPr>
      <w:r w:rsidRPr="00FC7A12">
        <w:rPr>
          <w:bCs/>
          <w:color w:val="000000" w:themeColor="text1"/>
        </w:rPr>
        <w:t xml:space="preserve">Sastanak sa </w:t>
      </w:r>
      <w:r w:rsidR="00435F1A" w:rsidRPr="00FC7A12">
        <w:rPr>
          <w:bCs/>
          <w:color w:val="000000" w:themeColor="text1"/>
        </w:rPr>
        <w:t>Nikšićanima koji su ostavili dubok i pozitivan trag u privrednom, društvenom i kulturnom životu našeg grada</w:t>
      </w:r>
      <w:r w:rsidR="006B108E">
        <w:rPr>
          <w:bCs/>
          <w:color w:val="000000" w:themeColor="text1"/>
        </w:rPr>
        <w:t>.</w:t>
      </w:r>
    </w:p>
    <w:p w:rsidR="00435F1A" w:rsidRPr="00FC7A12" w:rsidRDefault="00435F1A" w:rsidP="00435F1A">
      <w:pPr>
        <w:pStyle w:val="ListParagraph"/>
        <w:widowControl w:val="0"/>
        <w:autoSpaceDE w:val="0"/>
        <w:autoSpaceDN w:val="0"/>
        <w:adjustRightInd w:val="0"/>
        <w:ind w:left="1080"/>
        <w:jc w:val="both"/>
        <w:rPr>
          <w:b/>
        </w:rPr>
      </w:pPr>
    </w:p>
    <w:p w:rsidR="00363A1F" w:rsidRPr="00FC7A12" w:rsidRDefault="00C32EC6" w:rsidP="00E34D60">
      <w:pPr>
        <w:jc w:val="both"/>
      </w:pPr>
      <w:r w:rsidRPr="00FC7A12">
        <w:tab/>
        <w:t>U toku 2020</w:t>
      </w:r>
      <w:r w:rsidR="00FB0C02" w:rsidRPr="00FC7A12">
        <w:t xml:space="preserve">. godine </w:t>
      </w:r>
      <w:r w:rsidRPr="00FC7A12">
        <w:t xml:space="preserve">zbog propisanih epidemioloških mjera nije tradicionalno </w:t>
      </w:r>
      <w:r w:rsidR="00FB0C02" w:rsidRPr="00FC7A12">
        <w:t xml:space="preserve"> organizovan  </w:t>
      </w:r>
      <w:r w:rsidR="007067E0" w:rsidRPr="00FC7A12">
        <w:t xml:space="preserve">prijem za dobitnike diplome </w:t>
      </w:r>
      <w:r w:rsidR="006B108E">
        <w:t>„</w:t>
      </w:r>
      <w:r w:rsidR="003E0294" w:rsidRPr="00FC7A12">
        <w:t>Luča</w:t>
      </w:r>
      <w:r w:rsidR="006B108E">
        <w:t>“</w:t>
      </w:r>
      <w:r w:rsidRPr="00FC7A12">
        <w:t>. S</w:t>
      </w:r>
      <w:r w:rsidR="00FF4322" w:rsidRPr="00FC7A12">
        <w:t>vim učenicima prvog razreda osnovne škole Opština je obezbijedila besplatne komplete udžbenika</w:t>
      </w:r>
      <w:r w:rsidR="00FB0C02" w:rsidRPr="00FC7A12">
        <w:t xml:space="preserve">. </w:t>
      </w:r>
    </w:p>
    <w:p w:rsidR="001E0992" w:rsidRPr="00FC7A12" w:rsidRDefault="00363A1F" w:rsidP="00E34D60">
      <w:pPr>
        <w:ind w:firstLine="708"/>
        <w:jc w:val="both"/>
        <w:rPr>
          <w:color w:val="000000" w:themeColor="text1"/>
        </w:rPr>
      </w:pPr>
      <w:r w:rsidRPr="00FC7A12">
        <w:rPr>
          <w:color w:val="000000"/>
        </w:rPr>
        <w:t>Služba održava i ažurira sajt Opštine Nikšić, koji na podroban način informiše o svim karakteristikama naše opštine, lokalne uprave, svim aktuelnostima, sa bogatom foto i video galerijom, kako aktuelnog Nikšića tako i našeg grada kroz bogatu i dugu istoriju. Na sajtu se mogu naći sve informacije o nadležnostima organa upra</w:t>
      </w:r>
      <w:r w:rsidR="00E718B8" w:rsidRPr="00FC7A12">
        <w:rPr>
          <w:color w:val="000000"/>
        </w:rPr>
        <w:t>ve, obrasci formulara i zahtjeve</w:t>
      </w:r>
      <w:r w:rsidRPr="00FC7A12">
        <w:rPr>
          <w:color w:val="000000"/>
        </w:rPr>
        <w:t xml:space="preserve"> koji se najčešće podnose, svi akcion</w:t>
      </w:r>
      <w:r w:rsidR="00E718B8" w:rsidRPr="00FC7A12">
        <w:rPr>
          <w:color w:val="000000"/>
        </w:rPr>
        <w:t>i planovi, tenderi, ankete, međ</w:t>
      </w:r>
      <w:r w:rsidRPr="00FC7A12">
        <w:rPr>
          <w:color w:val="000000"/>
        </w:rPr>
        <w:t>unarodni projekti,</w:t>
      </w:r>
      <w:r w:rsidR="00E718B8" w:rsidRPr="00FC7A12">
        <w:rPr>
          <w:color w:val="000000"/>
        </w:rPr>
        <w:t xml:space="preserve"> rubrika pitajte predsjednika i</w:t>
      </w:r>
      <w:r w:rsidRPr="00FC7A12">
        <w:rPr>
          <w:color w:val="000000"/>
        </w:rPr>
        <w:t xml:space="preserve">td. </w:t>
      </w:r>
    </w:p>
    <w:p w:rsidR="00D93CCA" w:rsidRPr="00FC7A12" w:rsidRDefault="00C32EC6" w:rsidP="00E34D60">
      <w:pPr>
        <w:widowControl w:val="0"/>
        <w:autoSpaceDE w:val="0"/>
        <w:autoSpaceDN w:val="0"/>
        <w:adjustRightInd w:val="0"/>
        <w:ind w:firstLine="708"/>
        <w:jc w:val="both"/>
        <w:rPr>
          <w:color w:val="000000" w:themeColor="text1"/>
          <w:u w:val="single"/>
        </w:rPr>
      </w:pPr>
      <w:r w:rsidRPr="00FC7A12">
        <w:rPr>
          <w:color w:val="000000" w:themeColor="text1"/>
        </w:rPr>
        <w:t>U toku 2020</w:t>
      </w:r>
      <w:r w:rsidR="00880D93" w:rsidRPr="00FC7A12">
        <w:rPr>
          <w:color w:val="000000" w:themeColor="text1"/>
        </w:rPr>
        <w:t xml:space="preserve">. godine primljeno </w:t>
      </w:r>
      <w:r w:rsidRPr="00FC7A12">
        <w:rPr>
          <w:color w:val="000000" w:themeColor="text1"/>
        </w:rPr>
        <w:t>je 7</w:t>
      </w:r>
      <w:r w:rsidR="00674790" w:rsidRPr="00FC7A12">
        <w:rPr>
          <w:color w:val="000000" w:themeColor="text1"/>
        </w:rPr>
        <w:t xml:space="preserve"> zahtjeva za slobodan pristup inf</w:t>
      </w:r>
      <w:r w:rsidR="00D93697" w:rsidRPr="00FC7A12">
        <w:rPr>
          <w:color w:val="000000" w:themeColor="text1"/>
        </w:rPr>
        <w:t>ormacijama koja su u s</w:t>
      </w:r>
      <w:r w:rsidR="00880D93" w:rsidRPr="00FC7A12">
        <w:rPr>
          <w:color w:val="000000" w:themeColor="text1"/>
        </w:rPr>
        <w:t xml:space="preserve">kladu sa procedurom obrađena. </w:t>
      </w:r>
    </w:p>
    <w:p w:rsidR="001E0992" w:rsidRPr="00FC7A12" w:rsidRDefault="001E0992" w:rsidP="00E34D60">
      <w:pPr>
        <w:widowControl w:val="0"/>
        <w:autoSpaceDE w:val="0"/>
        <w:autoSpaceDN w:val="0"/>
        <w:adjustRightInd w:val="0"/>
        <w:ind w:firstLine="708"/>
        <w:jc w:val="both"/>
        <w:rPr>
          <w:color w:val="000000" w:themeColor="text1"/>
        </w:rPr>
      </w:pPr>
      <w:r w:rsidRPr="00FC7A12">
        <w:rPr>
          <w:color w:val="000000" w:themeColor="text1"/>
        </w:rPr>
        <w:t>U prote</w:t>
      </w:r>
      <w:r w:rsidR="007B1333" w:rsidRPr="00FC7A12">
        <w:rPr>
          <w:color w:val="000000" w:themeColor="text1"/>
        </w:rPr>
        <w:t xml:space="preserve">klom periodu  primljeno je </w:t>
      </w:r>
      <w:r w:rsidR="00B62C84" w:rsidRPr="00FC7A12">
        <w:rPr>
          <w:color w:val="000000" w:themeColor="text1"/>
        </w:rPr>
        <w:t xml:space="preserve">ukupno 3.203 </w:t>
      </w:r>
      <w:r w:rsidR="007B1333" w:rsidRPr="00FC7A12">
        <w:rPr>
          <w:color w:val="000000" w:themeColor="text1"/>
        </w:rPr>
        <w:t xml:space="preserve"> </w:t>
      </w:r>
      <w:r w:rsidR="00B62C84" w:rsidRPr="00FC7A12">
        <w:rPr>
          <w:color w:val="000000" w:themeColor="text1"/>
        </w:rPr>
        <w:t>akta. Što se tiče zahtjeva građana</w:t>
      </w:r>
      <w:r w:rsidRPr="00FC7A12">
        <w:rPr>
          <w:color w:val="000000" w:themeColor="text1"/>
        </w:rPr>
        <w:t xml:space="preserve">,  </w:t>
      </w:r>
      <w:r w:rsidR="00C32EC6" w:rsidRPr="00FC7A12">
        <w:rPr>
          <w:color w:val="000000" w:themeColor="text1"/>
        </w:rPr>
        <w:t>veći broj</w:t>
      </w:r>
      <w:r w:rsidR="00B62C84" w:rsidRPr="00FC7A12">
        <w:rPr>
          <w:color w:val="000000" w:themeColor="text1"/>
        </w:rPr>
        <w:t xml:space="preserve"> je </w:t>
      </w:r>
      <w:r w:rsidR="00C32EC6" w:rsidRPr="00FC7A12">
        <w:rPr>
          <w:color w:val="000000" w:themeColor="text1"/>
        </w:rPr>
        <w:t xml:space="preserve"> pozitivno riješen,</w:t>
      </w:r>
      <w:r w:rsidRPr="00FC7A12">
        <w:rPr>
          <w:color w:val="000000" w:themeColor="text1"/>
        </w:rPr>
        <w:t xml:space="preserve"> odnosno odobrena je jednokratna novčana pomoć gdje je procjenjeno da je opravdano i neophodno, ili je izvršeno posredovanje kod drugih nadležnih organa i institucija, dok je određeni broj zahtjeva odbijen kao neosnovan, bilo zbog nenadležnosti predsjednika Opštine za rješavanje istih, bilo zbog  trenutne nemogućnosti Opštine da izdvoji dio sredstava iz Budžeta za dodjelu novčanih pomoći.</w:t>
      </w:r>
    </w:p>
    <w:p w:rsidR="001E0992" w:rsidRPr="00FC7A12" w:rsidRDefault="001E0992" w:rsidP="00E34D60">
      <w:pPr>
        <w:widowControl w:val="0"/>
        <w:autoSpaceDE w:val="0"/>
        <w:autoSpaceDN w:val="0"/>
        <w:adjustRightInd w:val="0"/>
        <w:jc w:val="both"/>
        <w:rPr>
          <w:color w:val="000000"/>
        </w:rPr>
      </w:pPr>
      <w:r w:rsidRPr="00FC7A12">
        <w:rPr>
          <w:color w:val="000000"/>
        </w:rPr>
        <w:t xml:space="preserve">    </w:t>
      </w:r>
      <w:r w:rsidR="00363A1F" w:rsidRPr="00FC7A12">
        <w:rPr>
          <w:color w:val="000000"/>
        </w:rPr>
        <w:tab/>
      </w:r>
      <w:r w:rsidRPr="00FC7A12">
        <w:rPr>
          <w:color w:val="000000"/>
        </w:rPr>
        <w:t xml:space="preserve">Služba </w:t>
      </w:r>
      <w:r w:rsidR="00E34D60" w:rsidRPr="00FC7A12">
        <w:rPr>
          <w:color w:val="000000"/>
        </w:rPr>
        <w:t xml:space="preserve">za saradnju, poslove predsjednika i informisanje </w:t>
      </w:r>
      <w:r w:rsidRPr="00FC7A12">
        <w:rPr>
          <w:color w:val="000000"/>
        </w:rPr>
        <w:t>je postupala po predstavkama i prijedlozima koje građani i drugi subjekti upućuju predsjedniku Opštine i vođena je evidencija o istim. Takodje, obavljan je prijem stranaka kod predsjedn</w:t>
      </w:r>
      <w:r w:rsidR="00AB5E50" w:rsidRPr="00FC7A12">
        <w:rPr>
          <w:color w:val="000000"/>
        </w:rPr>
        <w:t>ika i potpredsjednika Opštine</w:t>
      </w:r>
      <w:r w:rsidR="00E718B8" w:rsidRPr="00FC7A12">
        <w:rPr>
          <w:color w:val="000000"/>
        </w:rPr>
        <w:t>.</w:t>
      </w:r>
      <w:r w:rsidRPr="00FC7A12">
        <w:rPr>
          <w:color w:val="000000"/>
        </w:rPr>
        <w:t xml:space="preserve"> Služba u okviru redovnih poslova prima, evidentira i distribuira poštu predsjednika i potpredsjednika, vodi internu dostavnu knjigu, stara se o zavođenju primljenih akata, arhivira dokumentaciju predsjednika i potpredsjednika,</w:t>
      </w:r>
      <w:r w:rsidR="00E34D60" w:rsidRPr="00FC7A12">
        <w:rPr>
          <w:color w:val="000000"/>
        </w:rPr>
        <w:t xml:space="preserve"> </w:t>
      </w:r>
      <w:r w:rsidRPr="00FC7A12">
        <w:rPr>
          <w:color w:val="000000"/>
        </w:rPr>
        <w:t>prima i popunjava trezorske obrasce za račune i zaključke za koje daju naloge predsjednik i potpredsjednici i iste dostavlja Sekretarijatu za  finansije, razvoj i preduzetništvo.</w:t>
      </w:r>
    </w:p>
    <w:p w:rsidR="001E0992" w:rsidRPr="00FC7A12" w:rsidRDefault="001E0992" w:rsidP="00E34D60">
      <w:pPr>
        <w:jc w:val="both"/>
      </w:pPr>
      <w:r w:rsidRPr="00FC7A12">
        <w:t xml:space="preserve">              Predsjednik Opštine u svakodnevn</w:t>
      </w:r>
      <w:r w:rsidR="00931F9A" w:rsidRPr="00FC7A12">
        <w:t>oj komunikaciji sa predsjednikom</w:t>
      </w:r>
      <w:r w:rsidRPr="00FC7A12">
        <w:t xml:space="preserve"> Skupštine uskladjivao  je rad izvršne i zakonodavne vlasti,  kroz prijedloge odluka koje je usvajala Skupština opštine i kroz zajedničko djelovanje prema državnim institucijama, privrednim subjektima, nevladinom sektoru, medjunarodnim organizacijama.</w:t>
      </w:r>
    </w:p>
    <w:p w:rsidR="00DB11EB" w:rsidRPr="00FC7A12" w:rsidRDefault="00DB11EB" w:rsidP="00E34D60">
      <w:bookmarkStart w:id="7" w:name="_Toc390346524"/>
    </w:p>
    <w:bookmarkEnd w:id="7"/>
    <w:p w:rsidR="00210D4C" w:rsidRDefault="00210D4C" w:rsidP="00E34D60">
      <w:pPr>
        <w:jc w:val="both"/>
      </w:pPr>
    </w:p>
    <w:p w:rsidR="00DF2423" w:rsidRDefault="00DF2423" w:rsidP="00E34D60">
      <w:pPr>
        <w:jc w:val="both"/>
      </w:pPr>
    </w:p>
    <w:p w:rsidR="00DF2423" w:rsidRDefault="00DF2423" w:rsidP="00E34D60">
      <w:pPr>
        <w:jc w:val="both"/>
      </w:pPr>
    </w:p>
    <w:p w:rsidR="00DF2423" w:rsidRPr="00FC7A12" w:rsidRDefault="00DF2423" w:rsidP="00E34D60">
      <w:pPr>
        <w:jc w:val="both"/>
      </w:pPr>
    </w:p>
    <w:p w:rsidR="00882BE0" w:rsidRPr="00FC7A12" w:rsidRDefault="00882BE0" w:rsidP="00E34D60">
      <w:pPr>
        <w:jc w:val="both"/>
        <w:rPr>
          <w:b/>
          <w:i/>
          <w:color w:val="0070C0"/>
        </w:rPr>
      </w:pPr>
      <w:r w:rsidRPr="00FC7A12">
        <w:rPr>
          <w:b/>
          <w:i/>
          <w:color w:val="0070C0"/>
        </w:rPr>
        <w:lastRenderedPageBreak/>
        <w:t>ODNOSI I  SARADNJA</w:t>
      </w:r>
    </w:p>
    <w:p w:rsidR="00882BE0" w:rsidRPr="00FC7A12" w:rsidRDefault="00882BE0" w:rsidP="00E34D60">
      <w:pPr>
        <w:jc w:val="both"/>
        <w:rPr>
          <w:b/>
        </w:rPr>
      </w:pPr>
    </w:p>
    <w:p w:rsidR="00DA5789" w:rsidRDefault="00DA5789" w:rsidP="00E34D60">
      <w:pPr>
        <w:ind w:firstLine="708"/>
        <w:jc w:val="both"/>
        <w:rPr>
          <w:color w:val="000000" w:themeColor="text1"/>
        </w:rPr>
      </w:pPr>
    </w:p>
    <w:p w:rsidR="00DA5789" w:rsidRPr="00192317" w:rsidRDefault="00DA5789" w:rsidP="00DA5789">
      <w:pPr>
        <w:ind w:firstLine="708"/>
        <w:jc w:val="both"/>
        <w:rPr>
          <w:color w:val="000000" w:themeColor="text1"/>
        </w:rPr>
      </w:pPr>
      <w:r w:rsidRPr="00192317">
        <w:rPr>
          <w:color w:val="000000" w:themeColor="text1"/>
        </w:rPr>
        <w:t xml:space="preserve">Opština Nikšić je proteklih godina ulagala značajne napore  u ostvarivanje saradnje sa opštinama koje imaju predispozicije da budu naši partneri u razvojnim projektima koji uključuju različit spektar tema: od zaštite životne sredine, edukacije, turizma, poboljšanje infrastrukturnih kapaciteta, privrednih i preduzetničkih projekata, socijalnih, kulture i sporta. Za lokalnu upravu Nikšića izuzetnu važnost predstavlja održavanje uspostavljenih partnerstava i kontinuirano smo činili sve kako bi uspostavljene veze ispunile potrebe aktuelnog trenutka i uvijek ostale svježe i dinamične. </w:t>
      </w:r>
    </w:p>
    <w:p w:rsidR="00DA5789" w:rsidRPr="00192317" w:rsidRDefault="00DA5789" w:rsidP="00DA5789">
      <w:pPr>
        <w:ind w:firstLine="708"/>
        <w:jc w:val="both"/>
        <w:rPr>
          <w:color w:val="000000" w:themeColor="text1"/>
        </w:rPr>
      </w:pPr>
      <w:r w:rsidRPr="00192317">
        <w:rPr>
          <w:color w:val="000000" w:themeColor="text1"/>
        </w:rPr>
        <w:t xml:space="preserve">Uobičajene aktivnosti uspostavljanja saradnje za lokalnu upravu Nikšića predstavljaju organizovanje susreta, razmjene studenata, učenika, zajedničke kulturne i sportske aktivnosti, povezivanje preduzetnika, nevladinih organizacija, obrazovnih i drugih institucija. Međutim, zbog epidemijske situacije u prošloj godini ove aktivnosti se nijesu mogle </w:t>
      </w:r>
      <w:r w:rsidR="008A4D3F" w:rsidRPr="00192317">
        <w:rPr>
          <w:color w:val="000000" w:themeColor="text1"/>
        </w:rPr>
        <w:t>realizovati kao ranijih godine.</w:t>
      </w:r>
    </w:p>
    <w:p w:rsidR="00FC7A12" w:rsidRDefault="001C03D8" w:rsidP="00FC7A12">
      <w:pPr>
        <w:ind w:firstLine="708"/>
        <w:jc w:val="both"/>
      </w:pPr>
      <w:r w:rsidRPr="00192317">
        <w:rPr>
          <w:color w:val="000000" w:themeColor="text1"/>
        </w:rPr>
        <w:t>U cilju ublažavanja</w:t>
      </w:r>
      <w:r w:rsidRPr="00E54678">
        <w:rPr>
          <w:color w:val="000000" w:themeColor="text1"/>
        </w:rPr>
        <w:t xml:space="preserve"> posledica izazvanih pandemijom virusa COVID</w:t>
      </w:r>
      <w:r w:rsidRPr="00FC7A12">
        <w:t xml:space="preserve"> 19, koja se negativno odrazila na sve oblasti života i rada, Opština Nikšić je </w:t>
      </w:r>
      <w:r w:rsidR="00F175FA" w:rsidRPr="00FC7A12">
        <w:t xml:space="preserve">realizovala više aktivnosti i </w:t>
      </w:r>
      <w:r w:rsidRPr="00FC7A12">
        <w:t xml:space="preserve">pokrenula više inicijativa kako bi pomogla svojim građanima. </w:t>
      </w:r>
    </w:p>
    <w:p w:rsidR="00FC7A12" w:rsidRDefault="00FC7A12" w:rsidP="00FC7A12">
      <w:pPr>
        <w:ind w:firstLine="708"/>
        <w:jc w:val="both"/>
      </w:pPr>
      <w:r w:rsidRPr="00FC7A12">
        <w:t>JZU Opšta bolnica Nikšić je uručena donacija u iznosu od 30.000,00</w:t>
      </w:r>
      <w:r w:rsidR="00DF2423">
        <w:t xml:space="preserve"> </w:t>
      </w:r>
      <w:r w:rsidRPr="00FC7A12">
        <w:t>€, za nabavku specijalizovanog vozila za prevoz pacijenata ugroženih vitalnih parametara i 10.000,00</w:t>
      </w:r>
      <w:r w:rsidR="00DF2423">
        <w:t xml:space="preserve"> </w:t>
      </w:r>
      <w:r w:rsidRPr="00FC7A12">
        <w:t xml:space="preserve">€ JZU Dom zdravlja Nikšić, za nabavku automobila za prevoz hitnih slučajeva. Opštinskoj organizaciji Crvenog krsta je više puta opredijeljivana novčana pomoć za najugroženije stanovnike. </w:t>
      </w:r>
    </w:p>
    <w:p w:rsidR="00FC7A12" w:rsidRPr="00FC7A12" w:rsidRDefault="00FC7A12" w:rsidP="00FC7A12">
      <w:pPr>
        <w:ind w:firstLine="708"/>
        <w:jc w:val="both"/>
      </w:pPr>
      <w:r w:rsidRPr="00FC7A12">
        <w:t>Predsjednik Opštine mr Milutina Simovića, održao je  sastanak sa predstavnicama ženskog preduzetništva iz našeg grada i najavio realizaciju Programa podrške ženskom preduzetništvu, kojim će se u Budžetu za 2021. godinu obezbijediti 40.000,00</w:t>
      </w:r>
      <w:r w:rsidR="00F6369F">
        <w:t xml:space="preserve"> </w:t>
      </w:r>
      <w:r w:rsidRPr="00FC7A12">
        <w:t>€ za dodjelu bespovratnih grantova.</w:t>
      </w:r>
    </w:p>
    <w:p w:rsidR="00FC7A12" w:rsidRPr="00FC7A12" w:rsidRDefault="00FC7A12" w:rsidP="00FC7A12">
      <w:pPr>
        <w:ind w:firstLine="708"/>
        <w:jc w:val="both"/>
      </w:pPr>
      <w:r w:rsidRPr="00FC7A12">
        <w:t>Upriličen je bio prijem visokoškolaca povodom nastavka Programa podsticanja zapošljavanja mladih u opštini Nikšić, koji se implementira od juna 2019. godine.</w:t>
      </w:r>
    </w:p>
    <w:p w:rsidR="00FC7A12" w:rsidRPr="00FC7A12" w:rsidRDefault="00FC7A12" w:rsidP="00FC7A12">
      <w:pPr>
        <w:ind w:firstLine="708"/>
        <w:jc w:val="both"/>
      </w:pPr>
      <w:r w:rsidRPr="00FC7A12">
        <w:t>Pokrenut je i program  “Nikšić je moja adresa” koji je usmjeren na obezbjeđivanje rješavanja stambenog pitanja mladim Nikšićanima pod povoljnim uslovim.</w:t>
      </w:r>
    </w:p>
    <w:p w:rsidR="00FC7A12" w:rsidRPr="00FC7A12" w:rsidRDefault="00FC7A12" w:rsidP="00FC7A12">
      <w:pPr>
        <w:ind w:firstLine="708"/>
        <w:jc w:val="both"/>
      </w:pPr>
      <w:r w:rsidRPr="00FC7A12">
        <w:t>Za mlade, nezaposlene ljude  iz Nikšića pokrenut je projekat „Krenimo zajedno“ , kao posebna platforma za po</w:t>
      </w:r>
      <w:r w:rsidR="00F6369F">
        <w:t>moć i podršku da realiziju ideja</w:t>
      </w:r>
      <w:r w:rsidRPr="00FC7A12">
        <w:t xml:space="preserve"> koje su od opšteg interesa, inovativne i održive.</w:t>
      </w:r>
    </w:p>
    <w:p w:rsidR="00F175FA" w:rsidRPr="00FC7A12" w:rsidRDefault="00F175FA" w:rsidP="00FC7A12">
      <w:pPr>
        <w:jc w:val="both"/>
      </w:pPr>
    </w:p>
    <w:p w:rsidR="00882BE0" w:rsidRPr="00FC7A12" w:rsidRDefault="00882BE0" w:rsidP="00E34D60">
      <w:pPr>
        <w:jc w:val="both"/>
        <w:rPr>
          <w:b/>
          <w:color w:val="FF0000"/>
        </w:rPr>
      </w:pPr>
    </w:p>
    <w:p w:rsidR="00C8687A" w:rsidRPr="00FC7A12" w:rsidRDefault="00882BE0" w:rsidP="00E34D60">
      <w:pPr>
        <w:jc w:val="both"/>
        <w:rPr>
          <w:b/>
          <w:color w:val="000000" w:themeColor="text1"/>
        </w:rPr>
      </w:pPr>
      <w:r w:rsidRPr="00FC7A12">
        <w:rPr>
          <w:b/>
          <w:color w:val="000000" w:themeColor="text1"/>
        </w:rPr>
        <w:t>U izvještajnom periodu opštinu Nikšić su posjetili:</w:t>
      </w:r>
    </w:p>
    <w:p w:rsidR="00210D4C" w:rsidRPr="00FC7A12" w:rsidRDefault="00210D4C" w:rsidP="00E34D60">
      <w:pPr>
        <w:jc w:val="both"/>
        <w:rPr>
          <w:b/>
          <w:color w:val="FF0000"/>
        </w:rPr>
      </w:pPr>
    </w:p>
    <w:p w:rsidR="00B62C84" w:rsidRPr="00FC7A12" w:rsidRDefault="00210D4C" w:rsidP="00600C54">
      <w:pPr>
        <w:pStyle w:val="ListParagraph"/>
        <w:numPr>
          <w:ilvl w:val="0"/>
          <w:numId w:val="7"/>
        </w:numPr>
        <w:rPr>
          <w:color w:val="000000" w:themeColor="text1"/>
        </w:rPr>
      </w:pPr>
      <w:r w:rsidRPr="00FC7A12">
        <w:rPr>
          <w:color w:val="000000" w:themeColor="text1"/>
        </w:rPr>
        <w:t>Ambasado</w:t>
      </w:r>
      <w:r w:rsidR="00B62C84" w:rsidRPr="00FC7A12">
        <w:rPr>
          <w:color w:val="000000" w:themeColor="text1"/>
        </w:rPr>
        <w:t>rka Bugarske</w:t>
      </w:r>
      <w:r w:rsidR="00C8687A" w:rsidRPr="00FC7A12">
        <w:rPr>
          <w:color w:val="000000" w:themeColor="text1"/>
        </w:rPr>
        <w:t xml:space="preserve">, </w:t>
      </w:r>
      <w:r w:rsidR="00875489" w:rsidRPr="00FC7A12">
        <w:rPr>
          <w:color w:val="000000" w:themeColor="text1"/>
        </w:rPr>
        <w:t>NJ.E.</w:t>
      </w:r>
      <w:r w:rsidR="00F05568" w:rsidRPr="00FC7A12">
        <w:rPr>
          <w:color w:val="000000" w:themeColor="text1"/>
        </w:rPr>
        <w:t xml:space="preserve"> Meglena Ivanova Plugtschieva- Alexandrova</w:t>
      </w:r>
      <w:r w:rsidR="006B108E">
        <w:rPr>
          <w:color w:val="000000" w:themeColor="text1"/>
        </w:rPr>
        <w:t>;</w:t>
      </w:r>
      <w:r w:rsidR="00875489" w:rsidRPr="00FC7A12">
        <w:rPr>
          <w:color w:val="000000" w:themeColor="text1"/>
        </w:rPr>
        <w:t xml:space="preserve">  </w:t>
      </w:r>
    </w:p>
    <w:p w:rsidR="00C8687A" w:rsidRPr="00FC7A12" w:rsidRDefault="009522E1" w:rsidP="009522E1">
      <w:pPr>
        <w:pStyle w:val="ListParagraph"/>
        <w:numPr>
          <w:ilvl w:val="0"/>
          <w:numId w:val="7"/>
        </w:numPr>
        <w:rPr>
          <w:color w:val="000000" w:themeColor="text1"/>
        </w:rPr>
      </w:pPr>
      <w:r w:rsidRPr="00FC7A12">
        <w:rPr>
          <w:color w:val="000000" w:themeColor="text1"/>
        </w:rPr>
        <w:t>Ambasador Slovačke</w:t>
      </w:r>
      <w:r w:rsidR="00C8687A" w:rsidRPr="00FC7A12">
        <w:rPr>
          <w:color w:val="000000" w:themeColor="text1"/>
        </w:rPr>
        <w:t xml:space="preserve">, </w:t>
      </w:r>
      <w:r w:rsidR="00875489" w:rsidRPr="00FC7A12">
        <w:rPr>
          <w:color w:val="000000" w:themeColor="text1"/>
        </w:rPr>
        <w:t xml:space="preserve">NJ.E. </w:t>
      </w:r>
      <w:r w:rsidRPr="00FC7A12">
        <w:rPr>
          <w:color w:val="000000" w:themeColor="text1"/>
        </w:rPr>
        <w:t>Boris Gandel</w:t>
      </w:r>
      <w:r w:rsidR="006B108E">
        <w:rPr>
          <w:color w:val="000000" w:themeColor="text1"/>
        </w:rPr>
        <w:t>;</w:t>
      </w:r>
    </w:p>
    <w:p w:rsidR="00F05568" w:rsidRPr="00FC7A12" w:rsidRDefault="00A83FDB" w:rsidP="006B108E">
      <w:pPr>
        <w:pStyle w:val="ListParagraph"/>
        <w:numPr>
          <w:ilvl w:val="0"/>
          <w:numId w:val="7"/>
        </w:numPr>
        <w:jc w:val="both"/>
        <w:rPr>
          <w:color w:val="000000" w:themeColor="text1"/>
        </w:rPr>
      </w:pPr>
      <w:r w:rsidRPr="00FC7A12">
        <w:rPr>
          <w:color w:val="000000" w:themeColor="text1"/>
        </w:rPr>
        <w:t>Predsjednik Crne Gore, Milo Đukanović</w:t>
      </w:r>
      <w:r w:rsidR="00C73126" w:rsidRPr="00FC7A12">
        <w:t xml:space="preserve"> </w:t>
      </w:r>
      <w:r w:rsidR="00C73126" w:rsidRPr="00FC7A12">
        <w:rPr>
          <w:color w:val="000000" w:themeColor="text1"/>
        </w:rPr>
        <w:t>boravio je u posjeti Opštini Nikšić sa predsjednikom Nacionalnog koordinacionog tijela za zarazne bolesti, Milutinom Simovićem, kako bi se up</w:t>
      </w:r>
      <w:r w:rsidR="00F6369F">
        <w:rPr>
          <w:color w:val="000000" w:themeColor="text1"/>
        </w:rPr>
        <w:t>oznao sa epidemijskom</w:t>
      </w:r>
      <w:r w:rsidR="00C73126" w:rsidRPr="00FC7A12">
        <w:rPr>
          <w:color w:val="000000" w:themeColor="text1"/>
        </w:rPr>
        <w:t xml:space="preserve"> situacijom. Tom prilikom je obišao Opštu bolnicu u Nikšiću u kojoj se liječe pacijenti zaraženi koronavirusom, a sa njima je bio i ministar zdravlja, Kenan Hrapović;</w:t>
      </w:r>
      <w:r w:rsidR="00F05568" w:rsidRPr="00FC7A12">
        <w:rPr>
          <w:color w:val="000000" w:themeColor="text1"/>
        </w:rPr>
        <w:t xml:space="preserve"> Drugom  prilikom, predsjednik Đukanović je tokom posjete Nikšiću, održao sastanak sa uspješnim privrednicima; </w:t>
      </w:r>
    </w:p>
    <w:p w:rsidR="00A83FDB" w:rsidRPr="00FC7A12" w:rsidRDefault="00A83FDB" w:rsidP="006B108E">
      <w:pPr>
        <w:pStyle w:val="ListParagraph"/>
        <w:numPr>
          <w:ilvl w:val="0"/>
          <w:numId w:val="7"/>
        </w:numPr>
        <w:jc w:val="both"/>
        <w:rPr>
          <w:color w:val="000000" w:themeColor="text1"/>
        </w:rPr>
      </w:pPr>
      <w:r w:rsidRPr="00FC7A12">
        <w:rPr>
          <w:color w:val="000000" w:themeColor="text1"/>
        </w:rPr>
        <w:t>Predsjednik Vlade Crne Gore, Duško Marković</w:t>
      </w:r>
      <w:r w:rsidR="00C73126" w:rsidRPr="00FC7A12">
        <w:rPr>
          <w:color w:val="000000" w:themeColor="text1"/>
        </w:rPr>
        <w:t xml:space="preserve"> i direktor Uprave za saobraćaj, Savo Parača, obišli su  rekonstruisanu dionicu magistralnog puta Nikšić – Ilino </w:t>
      </w:r>
      <w:r w:rsidR="00F6369F">
        <w:rPr>
          <w:color w:val="000000" w:themeColor="text1"/>
        </w:rPr>
        <w:t>brdo, dionicu Trubjela – Vilusi</w:t>
      </w:r>
      <w:r w:rsidR="00C73126" w:rsidRPr="00FC7A12">
        <w:rPr>
          <w:color w:val="000000" w:themeColor="text1"/>
        </w:rPr>
        <w:t>, radove na putu za Župu, kao i Dom revolucije;</w:t>
      </w:r>
    </w:p>
    <w:p w:rsidR="00A83FDB" w:rsidRPr="00FC7A12" w:rsidRDefault="00A83FDB" w:rsidP="006B108E">
      <w:pPr>
        <w:pStyle w:val="ListParagraph"/>
        <w:numPr>
          <w:ilvl w:val="0"/>
          <w:numId w:val="7"/>
        </w:numPr>
        <w:jc w:val="both"/>
        <w:rPr>
          <w:color w:val="000000" w:themeColor="text1"/>
        </w:rPr>
      </w:pPr>
      <w:r w:rsidRPr="00FC7A12">
        <w:rPr>
          <w:color w:val="000000" w:themeColor="text1"/>
        </w:rPr>
        <w:lastRenderedPageBreak/>
        <w:t>Ministar unurašnjih posl</w:t>
      </w:r>
      <w:r w:rsidR="00F6369F">
        <w:rPr>
          <w:color w:val="000000" w:themeColor="text1"/>
        </w:rPr>
        <w:t>o</w:t>
      </w:r>
      <w:r w:rsidRPr="00FC7A12">
        <w:rPr>
          <w:color w:val="000000" w:themeColor="text1"/>
        </w:rPr>
        <w:t>va, Melvudin Nuhodžić</w:t>
      </w:r>
      <w:r w:rsidR="00C73126" w:rsidRPr="00FC7A12">
        <w:t xml:space="preserve"> je boravio </w:t>
      </w:r>
      <w:r w:rsidR="00C73126" w:rsidRPr="00FC7A12">
        <w:rPr>
          <w:color w:val="000000" w:themeColor="text1"/>
        </w:rPr>
        <w:t>u radnoj po</w:t>
      </w:r>
      <w:r w:rsidR="00F6369F">
        <w:rPr>
          <w:color w:val="000000" w:themeColor="text1"/>
        </w:rPr>
        <w:t>sjeti našoj Opštini i tom prilikom</w:t>
      </w:r>
      <w:r w:rsidR="00C73126" w:rsidRPr="00FC7A12">
        <w:rPr>
          <w:color w:val="000000" w:themeColor="text1"/>
        </w:rPr>
        <w:t xml:space="preserve"> razgovarao sa predsjednikom Opštine Veselinom Grbovićem i predsjednikom SO Nikšić Radivojem Nikčevićem o bezbjedonosnoj situaciji u gradu;</w:t>
      </w:r>
    </w:p>
    <w:p w:rsidR="00A83FDB" w:rsidRPr="00FC7A12" w:rsidRDefault="00A83FDB" w:rsidP="00556537">
      <w:pPr>
        <w:pStyle w:val="ListParagraph"/>
        <w:numPr>
          <w:ilvl w:val="0"/>
          <w:numId w:val="7"/>
        </w:numPr>
        <w:jc w:val="both"/>
        <w:rPr>
          <w:color w:val="000000" w:themeColor="text1"/>
        </w:rPr>
      </w:pPr>
      <w:r w:rsidRPr="00FC7A12">
        <w:rPr>
          <w:color w:val="000000" w:themeColor="text1"/>
        </w:rPr>
        <w:t>Ministar poljoprivrede i ruralnog radzvoja, Milutin Simović</w:t>
      </w:r>
      <w:r w:rsidR="00C73126" w:rsidRPr="00FC7A12">
        <w:rPr>
          <w:color w:val="000000" w:themeColor="text1"/>
        </w:rPr>
        <w:t xml:space="preserve"> je više puta boravio u Nikšići i to povodom</w:t>
      </w:r>
      <w:r w:rsidR="00556537" w:rsidRPr="00FC7A12">
        <w:rPr>
          <w:color w:val="000000" w:themeColor="text1"/>
        </w:rPr>
        <w:t>:</w:t>
      </w:r>
      <w:r w:rsidR="00C73126" w:rsidRPr="00FC7A12">
        <w:rPr>
          <w:color w:val="000000" w:themeColor="text1"/>
        </w:rPr>
        <w:t xml:space="preserve">  svečanog otv</w:t>
      </w:r>
      <w:r w:rsidR="00556537" w:rsidRPr="00FC7A12">
        <w:rPr>
          <w:color w:val="000000" w:themeColor="text1"/>
        </w:rPr>
        <w:t>a</w:t>
      </w:r>
      <w:r w:rsidR="00C73126" w:rsidRPr="00FC7A12">
        <w:rPr>
          <w:color w:val="000000" w:themeColor="text1"/>
        </w:rPr>
        <w:t>ranja rekonstruisanog dijela Doma revolucije;</w:t>
      </w:r>
      <w:r w:rsidR="00556537" w:rsidRPr="00FC7A12">
        <w:t xml:space="preserve"> otvaranja </w:t>
      </w:r>
      <w:r w:rsidR="00556537" w:rsidRPr="00FC7A12">
        <w:rPr>
          <w:color w:val="000000" w:themeColor="text1"/>
        </w:rPr>
        <w:t>novoiz</w:t>
      </w:r>
      <w:r w:rsidR="00D800C5">
        <w:rPr>
          <w:color w:val="000000" w:themeColor="text1"/>
        </w:rPr>
        <w:t>građenog vodovoda Stubički kraj–</w:t>
      </w:r>
      <w:r w:rsidR="00556537" w:rsidRPr="00FC7A12">
        <w:rPr>
          <w:color w:val="000000" w:themeColor="text1"/>
        </w:rPr>
        <w:t>Prijespa;</w:t>
      </w:r>
      <w:r w:rsidR="00D800C5">
        <w:rPr>
          <w:color w:val="000000" w:themeColor="text1"/>
        </w:rPr>
        <w:t xml:space="preserve"> i</w:t>
      </w:r>
      <w:r w:rsidR="00556537" w:rsidRPr="00FC7A12">
        <w:rPr>
          <w:color w:val="000000" w:themeColor="text1"/>
        </w:rPr>
        <w:t xml:space="preserve"> </w:t>
      </w:r>
      <w:r w:rsidR="00C73126" w:rsidRPr="00FC7A12">
        <w:rPr>
          <w:color w:val="000000" w:themeColor="text1"/>
        </w:rPr>
        <w:t>kao predsjednik  Nacionalnog koordinacionog tijela za zarazne bolesti;</w:t>
      </w:r>
    </w:p>
    <w:p w:rsidR="00A83FDB" w:rsidRPr="00FC7A12" w:rsidRDefault="00A83FDB" w:rsidP="009522E1">
      <w:pPr>
        <w:pStyle w:val="ListParagraph"/>
        <w:numPr>
          <w:ilvl w:val="0"/>
          <w:numId w:val="7"/>
        </w:numPr>
        <w:rPr>
          <w:color w:val="000000" w:themeColor="text1"/>
        </w:rPr>
      </w:pPr>
      <w:r w:rsidRPr="00FC7A12">
        <w:rPr>
          <w:color w:val="000000" w:themeColor="text1"/>
        </w:rPr>
        <w:t>Mi</w:t>
      </w:r>
      <w:r w:rsidR="006B108E">
        <w:rPr>
          <w:color w:val="000000" w:themeColor="text1"/>
        </w:rPr>
        <w:t>nis</w:t>
      </w:r>
      <w:r w:rsidRPr="00FC7A12">
        <w:rPr>
          <w:color w:val="000000" w:themeColor="text1"/>
        </w:rPr>
        <w:t>t</w:t>
      </w:r>
      <w:r w:rsidR="006B108E">
        <w:rPr>
          <w:color w:val="000000" w:themeColor="text1"/>
        </w:rPr>
        <w:t>a</w:t>
      </w:r>
      <w:r w:rsidRPr="00FC7A12">
        <w:rPr>
          <w:color w:val="000000" w:themeColor="text1"/>
        </w:rPr>
        <w:t>r odbrane, Predrag Bošković</w:t>
      </w:r>
      <w:r w:rsidR="006B108E">
        <w:rPr>
          <w:color w:val="000000" w:themeColor="text1"/>
        </w:rPr>
        <w:t>;</w:t>
      </w:r>
    </w:p>
    <w:p w:rsidR="00A83FDB" w:rsidRPr="00FC7A12" w:rsidRDefault="00A83FDB" w:rsidP="006B108E">
      <w:pPr>
        <w:pStyle w:val="ListParagraph"/>
        <w:numPr>
          <w:ilvl w:val="0"/>
          <w:numId w:val="7"/>
        </w:numPr>
        <w:jc w:val="both"/>
        <w:rPr>
          <w:color w:val="000000" w:themeColor="text1"/>
        </w:rPr>
      </w:pPr>
      <w:r w:rsidRPr="00FC7A12">
        <w:rPr>
          <w:color w:val="000000" w:themeColor="text1"/>
        </w:rPr>
        <w:t>Ministar sporta, Nikola Janović</w:t>
      </w:r>
      <w:r w:rsidR="00556537" w:rsidRPr="00FC7A12">
        <w:rPr>
          <w:color w:val="000000" w:themeColor="text1"/>
        </w:rPr>
        <w:t xml:space="preserve"> je svečano otvorio  Sajam sporta – Nikšić 2020, pod sloganom „Reprezentacija u srcu.“ Takođe, boravio je </w:t>
      </w:r>
      <w:r w:rsidR="009936D6">
        <w:rPr>
          <w:color w:val="000000" w:themeColor="text1"/>
        </w:rPr>
        <w:t>i</w:t>
      </w:r>
      <w:r w:rsidR="00556537" w:rsidRPr="00FC7A12">
        <w:rPr>
          <w:color w:val="000000" w:themeColor="text1"/>
        </w:rPr>
        <w:t xml:space="preserve"> u slu</w:t>
      </w:r>
      <w:r w:rsidR="009936D6">
        <w:rPr>
          <w:color w:val="000000" w:themeColor="text1"/>
        </w:rPr>
        <w:t>žbenoj posjeti O</w:t>
      </w:r>
      <w:r w:rsidR="00556537" w:rsidRPr="00FC7A12">
        <w:rPr>
          <w:color w:val="000000" w:themeColor="text1"/>
        </w:rPr>
        <w:t>pštini Nikšić i tom pril</w:t>
      </w:r>
      <w:r w:rsidR="009936D6">
        <w:rPr>
          <w:color w:val="000000" w:themeColor="text1"/>
        </w:rPr>
        <w:t>ikom je sa predsjednikom</w:t>
      </w:r>
      <w:r w:rsidR="00556537" w:rsidRPr="00FC7A12">
        <w:rPr>
          <w:color w:val="000000" w:themeColor="text1"/>
        </w:rPr>
        <w:t xml:space="preserve">, Veselinom Grbovićem obišao novootvoreni omladinski servis i sportski teren </w:t>
      </w:r>
      <w:r w:rsidR="006B108E">
        <w:rPr>
          <w:color w:val="000000" w:themeColor="text1"/>
        </w:rPr>
        <w:t>u Župi;</w:t>
      </w:r>
    </w:p>
    <w:p w:rsidR="00A83FDB" w:rsidRPr="00FC7A12" w:rsidRDefault="00A83FDB" w:rsidP="009522E1">
      <w:pPr>
        <w:pStyle w:val="ListParagraph"/>
        <w:numPr>
          <w:ilvl w:val="0"/>
          <w:numId w:val="7"/>
        </w:numPr>
        <w:rPr>
          <w:color w:val="000000" w:themeColor="text1"/>
        </w:rPr>
      </w:pPr>
      <w:r w:rsidRPr="00FC7A12">
        <w:rPr>
          <w:color w:val="000000" w:themeColor="text1"/>
        </w:rPr>
        <w:t>Direktor Uprave javnih radova, Rešad Nuhodžić</w:t>
      </w:r>
      <w:r w:rsidR="00556537" w:rsidRPr="00FC7A12">
        <w:rPr>
          <w:color w:val="000000" w:themeColor="text1"/>
        </w:rPr>
        <w:t xml:space="preserve"> je posjetio Nikšić </w:t>
      </w:r>
      <w:r w:rsidR="009936D6">
        <w:rPr>
          <w:color w:val="000000" w:themeColor="text1"/>
        </w:rPr>
        <w:t>i</w:t>
      </w:r>
      <w:r w:rsidR="00556537" w:rsidRPr="00FC7A12">
        <w:rPr>
          <w:color w:val="000000" w:themeColor="text1"/>
        </w:rPr>
        <w:t xml:space="preserve"> </w:t>
      </w:r>
      <w:r w:rsidR="009936D6">
        <w:rPr>
          <w:color w:val="000000" w:themeColor="text1"/>
        </w:rPr>
        <w:t>obišao radove</w:t>
      </w:r>
      <w:r w:rsidR="00556537" w:rsidRPr="00FC7A12">
        <w:rPr>
          <w:color w:val="000000" w:themeColor="text1"/>
        </w:rPr>
        <w:t xml:space="preserve"> na Domu za st</w:t>
      </w:r>
      <w:r w:rsidR="009936D6">
        <w:rPr>
          <w:color w:val="000000" w:themeColor="text1"/>
        </w:rPr>
        <w:t>a</w:t>
      </w:r>
      <w:r w:rsidR="00556537" w:rsidRPr="00FC7A12">
        <w:rPr>
          <w:color w:val="000000" w:themeColor="text1"/>
        </w:rPr>
        <w:t>re.</w:t>
      </w:r>
    </w:p>
    <w:p w:rsidR="00C8687A" w:rsidRPr="00FC7A12" w:rsidRDefault="00C8687A" w:rsidP="00E34D60">
      <w:pPr>
        <w:jc w:val="both"/>
        <w:rPr>
          <w:color w:val="FF0000"/>
        </w:rPr>
      </w:pPr>
    </w:p>
    <w:p w:rsidR="00882BE0" w:rsidRPr="00FC7A12" w:rsidRDefault="00882BE0" w:rsidP="00E34D60">
      <w:pPr>
        <w:ind w:firstLine="708"/>
        <w:jc w:val="both"/>
        <w:rPr>
          <w:color w:val="000000" w:themeColor="text1"/>
        </w:rPr>
      </w:pPr>
      <w:r w:rsidRPr="00FC7A12">
        <w:rPr>
          <w:color w:val="000000" w:themeColor="text1"/>
        </w:rPr>
        <w:t>Izuzetnu saradnju lokalna uprava Nikšića ostvarila je sa Vladom Crne Gore, svim ministarstvima pojedinačno, agencijama, upravama, direkcijama i ostalim državnim institucijama.</w:t>
      </w:r>
    </w:p>
    <w:p w:rsidR="00882BE0" w:rsidRPr="00FC7A12" w:rsidRDefault="00882BE0" w:rsidP="00E34D60">
      <w:pPr>
        <w:jc w:val="both"/>
        <w:rPr>
          <w:color w:val="000000" w:themeColor="text1"/>
        </w:rPr>
      </w:pPr>
      <w:r w:rsidRPr="00FC7A12">
        <w:rPr>
          <w:color w:val="000000" w:themeColor="text1"/>
        </w:rPr>
        <w:t xml:space="preserve">         Lokalna uprava je imala izuzetnu saradnju i sa privrednim subjektima u gradu</w:t>
      </w:r>
      <w:r w:rsidR="00875489" w:rsidRPr="00FC7A12">
        <w:rPr>
          <w:color w:val="000000" w:themeColor="text1"/>
        </w:rPr>
        <w:t>.</w:t>
      </w:r>
      <w:r w:rsidRPr="00FC7A12">
        <w:rPr>
          <w:color w:val="000000" w:themeColor="text1"/>
        </w:rPr>
        <w:t xml:space="preserve">          Intenzivna  saradnja je bila i sa ostalim opštinama iz Crne Gore, kao i sa Glavnim gradom Podgoricom i Prijestonicom Cetinje.</w:t>
      </w:r>
    </w:p>
    <w:p w:rsidR="00F05568" w:rsidRPr="00FC7A12" w:rsidRDefault="00674790" w:rsidP="00E34D60">
      <w:pPr>
        <w:jc w:val="both"/>
        <w:rPr>
          <w:b/>
          <w:color w:val="000000" w:themeColor="text1"/>
        </w:rPr>
      </w:pPr>
      <w:r w:rsidRPr="00FC7A12">
        <w:rPr>
          <w:color w:val="000000" w:themeColor="text1"/>
        </w:rPr>
        <w:tab/>
      </w:r>
    </w:p>
    <w:p w:rsidR="00882BE0" w:rsidRPr="00FC7A12" w:rsidRDefault="00882BE0" w:rsidP="00E34D60">
      <w:pPr>
        <w:jc w:val="both"/>
        <w:rPr>
          <w:b/>
          <w:i/>
          <w:color w:val="000000" w:themeColor="text1"/>
        </w:rPr>
      </w:pPr>
      <w:r w:rsidRPr="00FC7A12">
        <w:rPr>
          <w:b/>
          <w:i/>
          <w:color w:val="000000" w:themeColor="text1"/>
        </w:rPr>
        <w:t>JAVNOST I TRANSPARENTNOST RADA</w:t>
      </w:r>
    </w:p>
    <w:p w:rsidR="00882BE0" w:rsidRPr="00FC7A12" w:rsidRDefault="00882BE0" w:rsidP="00E34D60">
      <w:pPr>
        <w:jc w:val="both"/>
      </w:pPr>
    </w:p>
    <w:p w:rsidR="00882BE0" w:rsidRPr="00192317" w:rsidRDefault="00882BE0" w:rsidP="00E34D60">
      <w:pPr>
        <w:jc w:val="both"/>
        <w:rPr>
          <w:color w:val="000000" w:themeColor="text1"/>
        </w:rPr>
      </w:pPr>
      <w:r w:rsidRPr="00FC7A12">
        <w:tab/>
        <w:t xml:space="preserve">Rad svih organa lokalne samouprave zasnivao se na načelu javnosti i transparentnosti, dostupnosti informacija gradjanima, nevladinim organizacijama i ukupnoj javnosti. </w:t>
      </w:r>
      <w:r w:rsidRPr="00192317">
        <w:rPr>
          <w:color w:val="000000" w:themeColor="text1"/>
        </w:rPr>
        <w:t xml:space="preserve">Organizovane su javne rasprave o svim dokumentima: Budžetu Opštine, Programu uredjenja prostora, planskim dokumentima i svim odlukama kojima se utvrdjuju prava i obaveze gradjana, kako bi ponudjena rješenja dobila na kvalitetu. </w:t>
      </w:r>
    </w:p>
    <w:p w:rsidR="00882BE0" w:rsidRPr="00FC7A12" w:rsidRDefault="00882BE0" w:rsidP="00E34D60">
      <w:pPr>
        <w:ind w:firstLine="708"/>
        <w:jc w:val="both"/>
        <w:rPr>
          <w:color w:val="000000" w:themeColor="text1"/>
        </w:rPr>
      </w:pPr>
      <w:r w:rsidRPr="00192317">
        <w:rPr>
          <w:color w:val="000000" w:themeColor="text1"/>
        </w:rPr>
        <w:t>Predstavnici lokalane uprave u medijskim nastupima nastojali su da istinito i</w:t>
      </w:r>
      <w:r w:rsidRPr="00FC7A12">
        <w:t xml:space="preserve"> nepristrasno informišu gradjane o stanju i problemima u funkcionisanju lokalne uprave. </w:t>
      </w:r>
      <w:r w:rsidRPr="00FC7A12">
        <w:rPr>
          <w:color w:val="000000" w:themeColor="text1"/>
        </w:rPr>
        <w:t>Posredstvom Sl</w:t>
      </w:r>
      <w:r w:rsidR="00880D93" w:rsidRPr="00FC7A12">
        <w:rPr>
          <w:color w:val="000000" w:themeColor="text1"/>
        </w:rPr>
        <w:t xml:space="preserve">užbe </w:t>
      </w:r>
      <w:r w:rsidR="00D800C5">
        <w:rPr>
          <w:color w:val="000000" w:themeColor="text1"/>
        </w:rPr>
        <w:t xml:space="preserve">za saradnju, poslove predsjednika i informidanje </w:t>
      </w:r>
      <w:r w:rsidR="00FC7A12" w:rsidRPr="00FC7A12">
        <w:rPr>
          <w:color w:val="000000" w:themeColor="text1"/>
        </w:rPr>
        <w:t xml:space="preserve"> u 2020</w:t>
      </w:r>
      <w:r w:rsidR="00453AA5" w:rsidRPr="00FC7A12">
        <w:rPr>
          <w:color w:val="000000" w:themeColor="text1"/>
        </w:rPr>
        <w:t xml:space="preserve">. godini </w:t>
      </w:r>
      <w:r w:rsidR="00525115" w:rsidRPr="00FC7A12">
        <w:rPr>
          <w:color w:val="000000" w:themeColor="text1"/>
        </w:rPr>
        <w:t xml:space="preserve">održano je </w:t>
      </w:r>
      <w:r w:rsidR="00FC7A12" w:rsidRPr="00FC7A12">
        <w:rPr>
          <w:color w:val="000000" w:themeColor="text1"/>
        </w:rPr>
        <w:t>više</w:t>
      </w:r>
      <w:r w:rsidR="00A21020" w:rsidRPr="00FC7A12">
        <w:rPr>
          <w:color w:val="000000" w:themeColor="text1"/>
        </w:rPr>
        <w:t xml:space="preserve"> kon</w:t>
      </w:r>
      <w:r w:rsidR="00FC7A12" w:rsidRPr="00FC7A12">
        <w:rPr>
          <w:color w:val="000000" w:themeColor="text1"/>
        </w:rPr>
        <w:t xml:space="preserve">ferencija za novinare, a svi zančajniji </w:t>
      </w:r>
      <w:r w:rsidR="00525115" w:rsidRPr="00FC7A12">
        <w:rPr>
          <w:color w:val="000000" w:themeColor="text1"/>
        </w:rPr>
        <w:t xml:space="preserve"> </w:t>
      </w:r>
      <w:r w:rsidR="00D800C5">
        <w:rPr>
          <w:color w:val="000000" w:themeColor="text1"/>
        </w:rPr>
        <w:t xml:space="preserve">događaji </w:t>
      </w:r>
      <w:r w:rsidR="00FC7A12" w:rsidRPr="00FC7A12">
        <w:rPr>
          <w:color w:val="000000" w:themeColor="text1"/>
        </w:rPr>
        <w:t>su</w:t>
      </w:r>
      <w:r w:rsidR="00525115" w:rsidRPr="00FC7A12">
        <w:rPr>
          <w:color w:val="000000" w:themeColor="text1"/>
        </w:rPr>
        <w:t xml:space="preserve"> medijski propraće</w:t>
      </w:r>
      <w:r w:rsidR="00FC7A12" w:rsidRPr="00FC7A12">
        <w:rPr>
          <w:color w:val="000000" w:themeColor="text1"/>
        </w:rPr>
        <w:t>ni</w:t>
      </w:r>
      <w:r w:rsidR="00525115" w:rsidRPr="00FC7A12">
        <w:rPr>
          <w:color w:val="000000" w:themeColor="text1"/>
        </w:rPr>
        <w:t xml:space="preserve">. </w:t>
      </w:r>
      <w:r w:rsidR="00453AA5" w:rsidRPr="00FC7A12">
        <w:rPr>
          <w:color w:val="000000" w:themeColor="text1"/>
        </w:rPr>
        <w:t xml:space="preserve">Takodje, Služba je </w:t>
      </w:r>
      <w:r w:rsidR="00C32EC6" w:rsidRPr="00FC7A12">
        <w:rPr>
          <w:color w:val="000000" w:themeColor="text1"/>
        </w:rPr>
        <w:t>u 2020</w:t>
      </w:r>
      <w:r w:rsidRPr="00FC7A12">
        <w:rPr>
          <w:color w:val="000000" w:themeColor="text1"/>
        </w:rPr>
        <w:t xml:space="preserve">. godini pripremala i organizovala nastupe predsjednika i drugih funkcionera i službenika u medijima. </w:t>
      </w:r>
    </w:p>
    <w:p w:rsidR="00882BE0" w:rsidRPr="00FC7A12" w:rsidRDefault="00882BE0" w:rsidP="00E34D60">
      <w:pPr>
        <w:ind w:firstLine="708"/>
        <w:jc w:val="both"/>
        <w:rPr>
          <w:color w:val="000000" w:themeColor="text1"/>
        </w:rPr>
      </w:pPr>
      <w:r w:rsidRPr="00FC7A12">
        <w:rPr>
          <w:color w:val="000000" w:themeColor="text1"/>
        </w:rPr>
        <w:t>Shodno Odluci o načinu i postupku učešća lokalnog stanovništva u  vršenju javnih poslova kontinuirano su sprovođene javne rasprave, tribine, fokus grupe, radne posjete mjesnim zajednicama. Povodom opštinskih propisa kojima se utv</w:t>
      </w:r>
      <w:r w:rsidR="004D0B28" w:rsidRPr="00FC7A12">
        <w:rPr>
          <w:color w:val="000000" w:themeColor="text1"/>
        </w:rPr>
        <w:t xml:space="preserve">rđuju prava i obaveze građana u toku </w:t>
      </w:r>
      <w:r w:rsidR="00F175FA" w:rsidRPr="00FC7A12">
        <w:rPr>
          <w:color w:val="000000" w:themeColor="text1"/>
        </w:rPr>
        <w:t xml:space="preserve"> 2020</w:t>
      </w:r>
      <w:r w:rsidR="00FB0C02" w:rsidRPr="00FC7A12">
        <w:rPr>
          <w:color w:val="000000" w:themeColor="text1"/>
        </w:rPr>
        <w:t xml:space="preserve">. realizovano </w:t>
      </w:r>
      <w:r w:rsidR="00F175FA" w:rsidRPr="00FC7A12">
        <w:rPr>
          <w:color w:val="000000" w:themeColor="text1"/>
        </w:rPr>
        <w:t xml:space="preserve">je 14 </w:t>
      </w:r>
      <w:r w:rsidR="00FB0C02" w:rsidRPr="00FC7A12">
        <w:rPr>
          <w:color w:val="000000" w:themeColor="text1"/>
        </w:rPr>
        <w:t xml:space="preserve"> javnih </w:t>
      </w:r>
      <w:r w:rsidRPr="00FC7A12">
        <w:rPr>
          <w:color w:val="000000" w:themeColor="text1"/>
        </w:rPr>
        <w:t xml:space="preserve"> rasprava.</w:t>
      </w:r>
    </w:p>
    <w:p w:rsidR="0018698F" w:rsidRPr="00FC7A12" w:rsidRDefault="0018698F" w:rsidP="00E34D60">
      <w:pPr>
        <w:ind w:firstLine="708"/>
        <w:jc w:val="both"/>
        <w:rPr>
          <w:color w:val="000000" w:themeColor="text1"/>
        </w:rPr>
      </w:pPr>
    </w:p>
    <w:p w:rsidR="00882BE0" w:rsidRPr="00FC7A12" w:rsidRDefault="00882BE0" w:rsidP="00E34D60">
      <w:pPr>
        <w:jc w:val="both"/>
        <w:rPr>
          <w:b/>
          <w:color w:val="0070C0"/>
        </w:rPr>
      </w:pPr>
      <w:r w:rsidRPr="00FC7A12">
        <w:rPr>
          <w:b/>
          <w:color w:val="0070C0"/>
        </w:rPr>
        <w:t>MJERE ZA UNAPREĐENJE RADA ORGANA LOKALNE UPRAVE</w:t>
      </w:r>
    </w:p>
    <w:p w:rsidR="00882BE0" w:rsidRPr="00FC7A12" w:rsidRDefault="00882BE0" w:rsidP="00E34D60">
      <w:pPr>
        <w:jc w:val="both"/>
        <w:rPr>
          <w:i/>
        </w:rPr>
      </w:pPr>
    </w:p>
    <w:p w:rsidR="00882BE0" w:rsidRPr="00FC7A12" w:rsidRDefault="00065638" w:rsidP="00E34D60">
      <w:pPr>
        <w:jc w:val="both"/>
      </w:pPr>
      <w:r w:rsidRPr="00FC7A12">
        <w:t xml:space="preserve">          </w:t>
      </w:r>
      <w:r w:rsidR="00882BE0" w:rsidRPr="00FC7A12">
        <w:t xml:space="preserve">Neke od mjera za unapređenje rada organa lokalne uprave date su kroz tekst izvještaja, a u ovom </w:t>
      </w:r>
      <w:r w:rsidR="00525115" w:rsidRPr="00FC7A12">
        <w:t>o</w:t>
      </w:r>
      <w:r w:rsidR="00882BE0" w:rsidRPr="00FC7A12">
        <w:t>djeljku izdvajamo:</w:t>
      </w:r>
    </w:p>
    <w:p w:rsidR="00882BE0" w:rsidRPr="00FC7A12" w:rsidRDefault="00882BE0" w:rsidP="00E34D60">
      <w:pPr>
        <w:jc w:val="both"/>
      </w:pPr>
    </w:p>
    <w:p w:rsidR="00882BE0" w:rsidRPr="00FC7A12" w:rsidRDefault="007C70DF" w:rsidP="00E34D60">
      <w:pPr>
        <w:numPr>
          <w:ilvl w:val="0"/>
          <w:numId w:val="3"/>
        </w:numPr>
        <w:jc w:val="both"/>
      </w:pPr>
      <w:r w:rsidRPr="00FC7A12">
        <w:t>N</w:t>
      </w:r>
      <w:r w:rsidR="00FD1804" w:rsidRPr="00FC7A12">
        <w:t>astaviti sa dobrom praksom realizacije Budžeta</w:t>
      </w:r>
      <w:r w:rsidR="00882BE0" w:rsidRPr="00FC7A12">
        <w:t xml:space="preserve"> </w:t>
      </w:r>
    </w:p>
    <w:p w:rsidR="00882BE0" w:rsidRPr="00FC7A12" w:rsidRDefault="00882BE0" w:rsidP="00E34D60">
      <w:pPr>
        <w:numPr>
          <w:ilvl w:val="0"/>
          <w:numId w:val="3"/>
        </w:numPr>
        <w:jc w:val="both"/>
      </w:pPr>
      <w:r w:rsidRPr="00FC7A12">
        <w:t>Nastaviti  rad  na izradi projekata  kojima bi se apliciralo za sredstva iz ino-fondova</w:t>
      </w:r>
    </w:p>
    <w:p w:rsidR="00882BE0" w:rsidRPr="00FC7A12" w:rsidRDefault="00882BE0" w:rsidP="00E34D60">
      <w:pPr>
        <w:numPr>
          <w:ilvl w:val="0"/>
          <w:numId w:val="3"/>
        </w:numPr>
        <w:jc w:val="both"/>
      </w:pPr>
      <w:r w:rsidRPr="00FC7A12">
        <w:t>Raditi na stalnom inoviranju i dopunjavanju unutrašnjih procedura</w:t>
      </w:r>
    </w:p>
    <w:p w:rsidR="00882BE0" w:rsidRPr="00FC7A12" w:rsidRDefault="00882BE0" w:rsidP="00E34D60">
      <w:pPr>
        <w:numPr>
          <w:ilvl w:val="0"/>
          <w:numId w:val="3"/>
        </w:numPr>
        <w:jc w:val="both"/>
      </w:pPr>
      <w:r w:rsidRPr="00FC7A12">
        <w:t xml:space="preserve">Nastaviti  realizaciju </w:t>
      </w:r>
      <w:r w:rsidR="002333FB" w:rsidRPr="00FC7A12">
        <w:t xml:space="preserve">i ažuranje </w:t>
      </w:r>
      <w:r w:rsidRPr="00FC7A12">
        <w:t xml:space="preserve">lokalnih akcionih planova i programa  </w:t>
      </w:r>
    </w:p>
    <w:p w:rsidR="00882BE0" w:rsidRPr="00FC7A12" w:rsidRDefault="00882BE0" w:rsidP="00E34D60">
      <w:pPr>
        <w:numPr>
          <w:ilvl w:val="0"/>
          <w:numId w:val="3"/>
        </w:numPr>
        <w:jc w:val="both"/>
      </w:pPr>
      <w:r w:rsidRPr="00FC7A12">
        <w:lastRenderedPageBreak/>
        <w:t>Izvršiti sprovodjenje mjera i aktivnosti iz Akcionog plana za sprovodjenje St</w:t>
      </w:r>
      <w:r w:rsidR="002333FB" w:rsidRPr="00FC7A12">
        <w:t xml:space="preserve">rategije reforme javne uprave </w:t>
      </w:r>
    </w:p>
    <w:p w:rsidR="00882BE0" w:rsidRPr="00FC7A12" w:rsidRDefault="00882BE0" w:rsidP="00E34D60">
      <w:pPr>
        <w:numPr>
          <w:ilvl w:val="0"/>
          <w:numId w:val="3"/>
        </w:numPr>
        <w:jc w:val="both"/>
      </w:pPr>
      <w:r w:rsidRPr="00FC7A12">
        <w:t xml:space="preserve">Omogućiti dalje stručno usavršavanje službenika i namještenika radi ostvarivanja efikasnije i profesionalnije lokalne uprave. </w:t>
      </w:r>
    </w:p>
    <w:p w:rsidR="00882BE0" w:rsidRPr="00FC7A12" w:rsidRDefault="00882BE0" w:rsidP="00E34D60">
      <w:pPr>
        <w:jc w:val="center"/>
      </w:pPr>
    </w:p>
    <w:p w:rsidR="00882BE0" w:rsidRPr="00FC7A12" w:rsidRDefault="00882BE0" w:rsidP="00E34D60">
      <w:pPr>
        <w:jc w:val="center"/>
      </w:pPr>
      <w:r w:rsidRPr="00FC7A12">
        <w:t>***</w:t>
      </w:r>
    </w:p>
    <w:p w:rsidR="00882BE0" w:rsidRPr="00FC7A12" w:rsidRDefault="00882BE0" w:rsidP="00E34D60">
      <w:pPr>
        <w:jc w:val="both"/>
      </w:pPr>
    </w:p>
    <w:p w:rsidR="00882BE0" w:rsidRPr="00FC7A12" w:rsidRDefault="00065638" w:rsidP="00E34D60">
      <w:pPr>
        <w:jc w:val="both"/>
      </w:pPr>
      <w:r w:rsidRPr="00FC7A12">
        <w:t xml:space="preserve">            </w:t>
      </w:r>
      <w:r w:rsidR="00882BE0" w:rsidRPr="00FC7A12">
        <w:t>Rad organa lokalne uprave u izvještajnom periodu bio je organizovan u skladu sa poštovanjem i primjenom načela kojima se izražava zakonitost, profesionalnost, efikasnost i odgovornost</w:t>
      </w:r>
      <w:r w:rsidR="00934EF2" w:rsidRPr="00FC7A12">
        <w:t>.</w:t>
      </w:r>
      <w:r w:rsidR="00882BE0" w:rsidRPr="00FC7A12">
        <w:t xml:space="preserve"> </w:t>
      </w:r>
    </w:p>
    <w:p w:rsidR="00065638" w:rsidRPr="00FC7A12" w:rsidRDefault="00065638" w:rsidP="00E34D60">
      <w:pPr>
        <w:jc w:val="both"/>
      </w:pPr>
      <w:r w:rsidRPr="00FC7A12">
        <w:t xml:space="preserve">           </w:t>
      </w:r>
      <w:r w:rsidR="00882BE0" w:rsidRPr="00FC7A12">
        <w:t xml:space="preserve">Na kraju Izvještaja o radu predsjednika opštine i </w:t>
      </w:r>
      <w:r w:rsidR="0092652E">
        <w:t>radu</w:t>
      </w:r>
      <w:r w:rsidR="00C32EC6" w:rsidRPr="00FC7A12">
        <w:t xml:space="preserve"> organa lokalne uprave </w:t>
      </w:r>
      <w:r w:rsidR="0092652E">
        <w:t xml:space="preserve">i službi </w:t>
      </w:r>
      <w:r w:rsidR="00C32EC6" w:rsidRPr="00FC7A12">
        <w:t>za 2020</w:t>
      </w:r>
      <w:r w:rsidR="00882BE0" w:rsidRPr="00FC7A12">
        <w:t xml:space="preserve">. godinu, možemo konstatovati da su svi činioci lokalne uprave na ažuran i odgovoran način vršili poslove iz svoje nadležnosti. </w:t>
      </w:r>
    </w:p>
    <w:p w:rsidR="00AD3590" w:rsidRPr="00FC7A12" w:rsidRDefault="00AD3590" w:rsidP="00E34D60">
      <w:pPr>
        <w:jc w:val="both"/>
      </w:pPr>
    </w:p>
    <w:p w:rsidR="00882BE0" w:rsidRPr="00FC7A12" w:rsidRDefault="00D86E20" w:rsidP="00E34D60">
      <w:pPr>
        <w:ind w:left="4248" w:firstLine="708"/>
        <w:jc w:val="both"/>
      </w:pPr>
      <w:r w:rsidRPr="00FC7A12">
        <w:t xml:space="preserve">                               P r e d s j e d n i k   </w:t>
      </w:r>
    </w:p>
    <w:p w:rsidR="00D86E20" w:rsidRPr="00FC7A12" w:rsidRDefault="00D86E20" w:rsidP="00E34D60">
      <w:pPr>
        <w:ind w:left="4248" w:firstLine="708"/>
        <w:jc w:val="both"/>
      </w:pPr>
    </w:p>
    <w:p w:rsidR="001E0992" w:rsidRPr="00E141C1" w:rsidRDefault="00D86E20" w:rsidP="00E34D60">
      <w:pPr>
        <w:jc w:val="center"/>
      </w:pPr>
      <w:bookmarkStart w:id="8" w:name="_PictureBullets"/>
      <w:r w:rsidRPr="00FC7A12">
        <w:t xml:space="preserve">                                                                                      </w:t>
      </w:r>
      <w:r w:rsidR="00C32EC6" w:rsidRPr="00FC7A12">
        <w:t xml:space="preserve">                 mr Milutin Simovi</w:t>
      </w:r>
      <w:r w:rsidR="00C32EC6" w:rsidRPr="00FC7A12">
        <w:rPr>
          <w:lang w:val="sr-Latn-ME"/>
        </w:rPr>
        <w:t>ć</w:t>
      </w:r>
      <w:r w:rsidR="0092652E">
        <w:rPr>
          <w:lang w:val="sr-Latn-ME"/>
        </w:rPr>
        <w:t>,s.r.</w:t>
      </w:r>
      <w:r w:rsidR="00957416" w:rsidRPr="00FC7A12">
        <w:rPr>
          <w:noProof/>
          <w:vanish/>
          <w:lang w:val="sr-Latn-RS" w:eastAsia="sr-Latn-RS"/>
        </w:rPr>
        <w:drawing>
          <wp:inline distT="0" distB="0" distL="0" distR="0" wp14:anchorId="7893F092" wp14:editId="5E80FE95">
            <wp:extent cx="142875" cy="1428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42875" cy="142875"/>
                    </a:xfrm>
                    <a:prstGeom prst="rect">
                      <a:avLst/>
                    </a:prstGeom>
                    <a:noFill/>
                    <a:ln w="9525">
                      <a:noFill/>
                      <a:miter lim="800000"/>
                      <a:headEnd/>
                      <a:tailEnd/>
                    </a:ln>
                  </pic:spPr>
                </pic:pic>
              </a:graphicData>
            </a:graphic>
          </wp:inline>
        </w:drawing>
      </w:r>
      <w:bookmarkEnd w:id="8"/>
    </w:p>
    <w:sectPr w:rsidR="001E0992" w:rsidRPr="00E141C1" w:rsidSect="00174A28">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F2D" w:rsidRDefault="00471F2D">
      <w:r>
        <w:separator/>
      </w:r>
    </w:p>
  </w:endnote>
  <w:endnote w:type="continuationSeparator" w:id="0">
    <w:p w:rsidR="00471F2D" w:rsidRDefault="0047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871369"/>
      <w:docPartObj>
        <w:docPartGallery w:val="Page Numbers (Bottom of Page)"/>
        <w:docPartUnique/>
      </w:docPartObj>
    </w:sdtPr>
    <w:sdtEndPr>
      <w:rPr>
        <w:noProof/>
      </w:rPr>
    </w:sdtEndPr>
    <w:sdtContent>
      <w:p w:rsidR="00E54678" w:rsidRDefault="00E54678">
        <w:pPr>
          <w:pStyle w:val="Footer"/>
          <w:jc w:val="right"/>
        </w:pPr>
        <w:r>
          <w:fldChar w:fldCharType="begin"/>
        </w:r>
        <w:r>
          <w:instrText xml:space="preserve"> PAGE   \* MERGEFORMAT </w:instrText>
        </w:r>
        <w:r>
          <w:fldChar w:fldCharType="separate"/>
        </w:r>
        <w:r w:rsidR="003D6F04">
          <w:rPr>
            <w:noProof/>
          </w:rPr>
          <w:t>12</w:t>
        </w:r>
        <w:r>
          <w:rPr>
            <w:noProof/>
          </w:rPr>
          <w:fldChar w:fldCharType="end"/>
        </w:r>
      </w:p>
    </w:sdtContent>
  </w:sdt>
  <w:p w:rsidR="00E54678" w:rsidRDefault="00E546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678" w:rsidRDefault="00E54678" w:rsidP="00174A2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6F04">
      <w:rPr>
        <w:rStyle w:val="PageNumber"/>
        <w:noProof/>
      </w:rPr>
      <w:t>44</w:t>
    </w:r>
    <w:r>
      <w:rPr>
        <w:rStyle w:val="PageNumber"/>
      </w:rPr>
      <w:fldChar w:fldCharType="end"/>
    </w:r>
  </w:p>
  <w:p w:rsidR="00E54678" w:rsidRDefault="00E54678" w:rsidP="007221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F2D" w:rsidRDefault="00471F2D">
      <w:r>
        <w:separator/>
      </w:r>
    </w:p>
  </w:footnote>
  <w:footnote w:type="continuationSeparator" w:id="0">
    <w:p w:rsidR="00471F2D" w:rsidRDefault="00471F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numFmt w:val="bullet"/>
      <w:lvlText w:val="-"/>
      <w:lvlJc w:val="left"/>
      <w:pPr>
        <w:tabs>
          <w:tab w:val="num" w:pos="720"/>
        </w:tabs>
        <w:ind w:left="720" w:hanging="360"/>
      </w:pPr>
      <w:rPr>
        <w:rFonts w:ascii="Arial" w:hAnsi="Arial" w:cs="Arial" w:hint="default"/>
        <w:color w:val="000000"/>
      </w:rPr>
    </w:lvl>
  </w:abstractNum>
  <w:abstractNum w:abstractNumId="1">
    <w:nsid w:val="000E51C2"/>
    <w:multiLevelType w:val="hybridMultilevel"/>
    <w:tmpl w:val="701E9388"/>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
    <w:nsid w:val="0066763E"/>
    <w:multiLevelType w:val="hybridMultilevel"/>
    <w:tmpl w:val="DF820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8243F7"/>
    <w:multiLevelType w:val="hybridMultilevel"/>
    <w:tmpl w:val="24DEA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4569D"/>
    <w:multiLevelType w:val="hybridMultilevel"/>
    <w:tmpl w:val="09AE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DE29D7"/>
    <w:multiLevelType w:val="hybridMultilevel"/>
    <w:tmpl w:val="A146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2F79E0"/>
    <w:multiLevelType w:val="hybridMultilevel"/>
    <w:tmpl w:val="790E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7D22FD"/>
    <w:multiLevelType w:val="hybridMultilevel"/>
    <w:tmpl w:val="06845AFE"/>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D0C413F"/>
    <w:multiLevelType w:val="hybridMultilevel"/>
    <w:tmpl w:val="A508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DB1CD2"/>
    <w:multiLevelType w:val="hybridMultilevel"/>
    <w:tmpl w:val="C1DCCAC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13707150"/>
    <w:multiLevelType w:val="hybridMultilevel"/>
    <w:tmpl w:val="CE06444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nsid w:val="19FE4AF7"/>
    <w:multiLevelType w:val="hybridMultilevel"/>
    <w:tmpl w:val="4E3A963C"/>
    <w:lvl w:ilvl="0" w:tplc="E18C5F1A">
      <w:start w:val="1"/>
      <w:numFmt w:val="decimal"/>
      <w:lvlText w:val="%1."/>
      <w:lvlJc w:val="left"/>
      <w:pPr>
        <w:ind w:left="720" w:hanging="360"/>
      </w:pPr>
      <w:rPr>
        <w:rFonts w:asciiTheme="minorHAnsi" w:eastAsiaTheme="minorHAnsi" w:hAnsiTheme="minorHAnsi" w:cs="Times New Roman" w:hint="default"/>
        <w:sz w:val="28"/>
        <w:szCs w:val="28"/>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nsid w:val="1D753917"/>
    <w:multiLevelType w:val="hybridMultilevel"/>
    <w:tmpl w:val="B8C4C46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C41577"/>
    <w:multiLevelType w:val="hybridMultilevel"/>
    <w:tmpl w:val="5CDE264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nsid w:val="234713CC"/>
    <w:multiLevelType w:val="hybridMultilevel"/>
    <w:tmpl w:val="3D569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5323A7C"/>
    <w:multiLevelType w:val="hybridMultilevel"/>
    <w:tmpl w:val="C8D29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1F036A"/>
    <w:multiLevelType w:val="hybridMultilevel"/>
    <w:tmpl w:val="591C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CE2B63"/>
    <w:multiLevelType w:val="hybridMultilevel"/>
    <w:tmpl w:val="5418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D906EF"/>
    <w:multiLevelType w:val="hybridMultilevel"/>
    <w:tmpl w:val="55EC97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90491D"/>
    <w:multiLevelType w:val="hybridMultilevel"/>
    <w:tmpl w:val="2E40B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EF0460"/>
    <w:multiLevelType w:val="hybridMultilevel"/>
    <w:tmpl w:val="1742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ED456F"/>
    <w:multiLevelType w:val="hybridMultilevel"/>
    <w:tmpl w:val="35962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292CA8"/>
    <w:multiLevelType w:val="hybridMultilevel"/>
    <w:tmpl w:val="E2B00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0744A1"/>
    <w:multiLevelType w:val="hybridMultilevel"/>
    <w:tmpl w:val="289C330E"/>
    <w:lvl w:ilvl="0" w:tplc="081A0001">
      <w:start w:val="1"/>
      <w:numFmt w:val="bullet"/>
      <w:lvlText w:val=""/>
      <w:lvlJc w:val="left"/>
      <w:pPr>
        <w:tabs>
          <w:tab w:val="num" w:pos="720"/>
        </w:tabs>
        <w:ind w:left="720" w:hanging="360"/>
      </w:pPr>
      <w:rPr>
        <w:rFonts w:ascii="Symbol" w:hAnsi="Symbol" w:cs="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24">
    <w:nsid w:val="3E4346CF"/>
    <w:multiLevelType w:val="hybridMultilevel"/>
    <w:tmpl w:val="5C7EC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A3B6F89"/>
    <w:multiLevelType w:val="hybridMultilevel"/>
    <w:tmpl w:val="38266730"/>
    <w:lvl w:ilvl="0" w:tplc="4EC43A04">
      <w:start w:val="1"/>
      <w:numFmt w:val="decimal"/>
      <w:lvlText w:val="%1."/>
      <w:lvlJc w:val="left"/>
      <w:pPr>
        <w:ind w:left="786"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0E82613"/>
    <w:multiLevelType w:val="hybridMultilevel"/>
    <w:tmpl w:val="A42EEB4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nsid w:val="5118520D"/>
    <w:multiLevelType w:val="hybridMultilevel"/>
    <w:tmpl w:val="4C48F1BC"/>
    <w:lvl w:ilvl="0" w:tplc="FDF074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207C8A"/>
    <w:multiLevelType w:val="hybridMultilevel"/>
    <w:tmpl w:val="2892F2EC"/>
    <w:lvl w:ilvl="0" w:tplc="EB743FF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517C04"/>
    <w:multiLevelType w:val="hybridMultilevel"/>
    <w:tmpl w:val="FC2237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B25135"/>
    <w:multiLevelType w:val="hybridMultilevel"/>
    <w:tmpl w:val="67663AEE"/>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nsid w:val="65A36E84"/>
    <w:multiLevelType w:val="hybridMultilevel"/>
    <w:tmpl w:val="680633DE"/>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2">
    <w:nsid w:val="6B7A006F"/>
    <w:multiLevelType w:val="hybridMultilevel"/>
    <w:tmpl w:val="C25247B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3">
    <w:nsid w:val="77681B0B"/>
    <w:multiLevelType w:val="hybridMultilevel"/>
    <w:tmpl w:val="5C127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3"/>
  </w:num>
  <w:num w:numId="4">
    <w:abstractNumId w:val="15"/>
  </w:num>
  <w:num w:numId="5">
    <w:abstractNumId w:val="17"/>
  </w:num>
  <w:num w:numId="6">
    <w:abstractNumId w:val="16"/>
  </w:num>
  <w:num w:numId="7">
    <w:abstractNumId w:val="6"/>
  </w:num>
  <w:num w:numId="8">
    <w:abstractNumId w:val="19"/>
  </w:num>
  <w:num w:numId="9">
    <w:abstractNumId w:val="12"/>
  </w:num>
  <w:num w:numId="10">
    <w:abstractNumId w:val="5"/>
  </w:num>
  <w:num w:numId="11">
    <w:abstractNumId w:val="27"/>
  </w:num>
  <w:num w:numId="12">
    <w:abstractNumId w:val="4"/>
  </w:num>
  <w:num w:numId="13">
    <w:abstractNumId w:val="33"/>
  </w:num>
  <w:num w:numId="14">
    <w:abstractNumId w:val="20"/>
  </w:num>
  <w:num w:numId="15">
    <w:abstractNumId w:val="8"/>
  </w:num>
  <w:num w:numId="16">
    <w:abstractNumId w:val="28"/>
  </w:num>
  <w:num w:numId="17">
    <w:abstractNumId w:val="7"/>
  </w:num>
  <w:num w:numId="18">
    <w:abstractNumId w:val="13"/>
  </w:num>
  <w:num w:numId="19">
    <w:abstractNumId w:val="25"/>
  </w:num>
  <w:num w:numId="20">
    <w:abstractNumId w:val="31"/>
  </w:num>
  <w:num w:numId="21">
    <w:abstractNumId w:val="22"/>
  </w:num>
  <w:num w:numId="22">
    <w:abstractNumId w:val="29"/>
  </w:num>
  <w:num w:numId="23">
    <w:abstractNumId w:val="11"/>
  </w:num>
  <w:num w:numId="24">
    <w:abstractNumId w:val="2"/>
  </w:num>
  <w:num w:numId="25">
    <w:abstractNumId w:val="32"/>
  </w:num>
  <w:num w:numId="26">
    <w:abstractNumId w:val="18"/>
  </w:num>
  <w:num w:numId="27">
    <w:abstractNumId w:val="14"/>
  </w:num>
  <w:num w:numId="28">
    <w:abstractNumId w:val="26"/>
  </w:num>
  <w:num w:numId="29">
    <w:abstractNumId w:val="9"/>
  </w:num>
  <w:num w:numId="30">
    <w:abstractNumId w:val="10"/>
  </w:num>
  <w:num w:numId="31">
    <w:abstractNumId w:val="21"/>
  </w:num>
  <w:num w:numId="32">
    <w:abstractNumId w:val="30"/>
  </w:num>
  <w:num w:numId="33">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defaultTabStop w:val="708"/>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3372B"/>
    <w:rsid w:val="000026E7"/>
    <w:rsid w:val="00003B59"/>
    <w:rsid w:val="00004680"/>
    <w:rsid w:val="00004B91"/>
    <w:rsid w:val="00004DEA"/>
    <w:rsid w:val="0000609D"/>
    <w:rsid w:val="00006A86"/>
    <w:rsid w:val="00006BBF"/>
    <w:rsid w:val="00007090"/>
    <w:rsid w:val="00007180"/>
    <w:rsid w:val="00007C3B"/>
    <w:rsid w:val="00010304"/>
    <w:rsid w:val="00011567"/>
    <w:rsid w:val="00011DA0"/>
    <w:rsid w:val="000134E1"/>
    <w:rsid w:val="00014451"/>
    <w:rsid w:val="00016CCB"/>
    <w:rsid w:val="00017149"/>
    <w:rsid w:val="00017BFC"/>
    <w:rsid w:val="00021831"/>
    <w:rsid w:val="000219D0"/>
    <w:rsid w:val="00023B92"/>
    <w:rsid w:val="00025207"/>
    <w:rsid w:val="0002532F"/>
    <w:rsid w:val="00026F53"/>
    <w:rsid w:val="0003216C"/>
    <w:rsid w:val="00032E1E"/>
    <w:rsid w:val="00033A53"/>
    <w:rsid w:val="00034530"/>
    <w:rsid w:val="000347BF"/>
    <w:rsid w:val="000365C1"/>
    <w:rsid w:val="00037F13"/>
    <w:rsid w:val="00040831"/>
    <w:rsid w:val="000411A4"/>
    <w:rsid w:val="00042A4A"/>
    <w:rsid w:val="000437A0"/>
    <w:rsid w:val="00045382"/>
    <w:rsid w:val="000454CB"/>
    <w:rsid w:val="00046463"/>
    <w:rsid w:val="00050AC4"/>
    <w:rsid w:val="0005282A"/>
    <w:rsid w:val="000543A7"/>
    <w:rsid w:val="00057912"/>
    <w:rsid w:val="00057B04"/>
    <w:rsid w:val="00060D65"/>
    <w:rsid w:val="000617D1"/>
    <w:rsid w:val="00061A01"/>
    <w:rsid w:val="0006332D"/>
    <w:rsid w:val="00063FFD"/>
    <w:rsid w:val="000646F9"/>
    <w:rsid w:val="00064BC9"/>
    <w:rsid w:val="00065638"/>
    <w:rsid w:val="000661FD"/>
    <w:rsid w:val="00067088"/>
    <w:rsid w:val="00070144"/>
    <w:rsid w:val="00070489"/>
    <w:rsid w:val="00071F7D"/>
    <w:rsid w:val="00073300"/>
    <w:rsid w:val="000769D7"/>
    <w:rsid w:val="00077378"/>
    <w:rsid w:val="0008235E"/>
    <w:rsid w:val="00083798"/>
    <w:rsid w:val="00085B3E"/>
    <w:rsid w:val="0008725D"/>
    <w:rsid w:val="00087ED2"/>
    <w:rsid w:val="0009303D"/>
    <w:rsid w:val="000936F2"/>
    <w:rsid w:val="00093C13"/>
    <w:rsid w:val="00094E71"/>
    <w:rsid w:val="00097DAC"/>
    <w:rsid w:val="00097F6C"/>
    <w:rsid w:val="000A0D56"/>
    <w:rsid w:val="000A1FF1"/>
    <w:rsid w:val="000A33DC"/>
    <w:rsid w:val="000A4DA4"/>
    <w:rsid w:val="000A623D"/>
    <w:rsid w:val="000A6370"/>
    <w:rsid w:val="000A6EE2"/>
    <w:rsid w:val="000A7CAE"/>
    <w:rsid w:val="000A7FA4"/>
    <w:rsid w:val="000A7FA7"/>
    <w:rsid w:val="000B23F9"/>
    <w:rsid w:val="000B2C66"/>
    <w:rsid w:val="000B2FFD"/>
    <w:rsid w:val="000B317B"/>
    <w:rsid w:val="000B3BF7"/>
    <w:rsid w:val="000B4838"/>
    <w:rsid w:val="000B5C89"/>
    <w:rsid w:val="000B5E67"/>
    <w:rsid w:val="000B6F2B"/>
    <w:rsid w:val="000B7642"/>
    <w:rsid w:val="000B76DD"/>
    <w:rsid w:val="000B7824"/>
    <w:rsid w:val="000C0133"/>
    <w:rsid w:val="000C045A"/>
    <w:rsid w:val="000C138B"/>
    <w:rsid w:val="000C1F6B"/>
    <w:rsid w:val="000C2521"/>
    <w:rsid w:val="000C2875"/>
    <w:rsid w:val="000C2FC7"/>
    <w:rsid w:val="000C4E79"/>
    <w:rsid w:val="000C6646"/>
    <w:rsid w:val="000C7AC7"/>
    <w:rsid w:val="000D058A"/>
    <w:rsid w:val="000D072F"/>
    <w:rsid w:val="000D16BC"/>
    <w:rsid w:val="000D1B87"/>
    <w:rsid w:val="000D228F"/>
    <w:rsid w:val="000D28E1"/>
    <w:rsid w:val="000D35BC"/>
    <w:rsid w:val="000D79D0"/>
    <w:rsid w:val="000E01A9"/>
    <w:rsid w:val="000E2610"/>
    <w:rsid w:val="000E4120"/>
    <w:rsid w:val="000E413A"/>
    <w:rsid w:val="000E44F8"/>
    <w:rsid w:val="000E577D"/>
    <w:rsid w:val="000E5C33"/>
    <w:rsid w:val="000E5EA8"/>
    <w:rsid w:val="000E5EE1"/>
    <w:rsid w:val="000E7E1A"/>
    <w:rsid w:val="000F04AD"/>
    <w:rsid w:val="000F2F2F"/>
    <w:rsid w:val="000F334B"/>
    <w:rsid w:val="000F60A2"/>
    <w:rsid w:val="000F6541"/>
    <w:rsid w:val="000F6735"/>
    <w:rsid w:val="000F77DF"/>
    <w:rsid w:val="001019BA"/>
    <w:rsid w:val="00101B95"/>
    <w:rsid w:val="00101F0F"/>
    <w:rsid w:val="00102F17"/>
    <w:rsid w:val="0010496E"/>
    <w:rsid w:val="00105E51"/>
    <w:rsid w:val="001075E8"/>
    <w:rsid w:val="001075F5"/>
    <w:rsid w:val="00107973"/>
    <w:rsid w:val="00107C24"/>
    <w:rsid w:val="00112C09"/>
    <w:rsid w:val="00114652"/>
    <w:rsid w:val="00114D21"/>
    <w:rsid w:val="00114ED6"/>
    <w:rsid w:val="001157EF"/>
    <w:rsid w:val="00115D2F"/>
    <w:rsid w:val="00116221"/>
    <w:rsid w:val="00116E6B"/>
    <w:rsid w:val="0011722D"/>
    <w:rsid w:val="0011770A"/>
    <w:rsid w:val="00122C2A"/>
    <w:rsid w:val="00124F16"/>
    <w:rsid w:val="0012614C"/>
    <w:rsid w:val="00126DC2"/>
    <w:rsid w:val="0012731D"/>
    <w:rsid w:val="001309BE"/>
    <w:rsid w:val="00131C25"/>
    <w:rsid w:val="001322C5"/>
    <w:rsid w:val="00133C97"/>
    <w:rsid w:val="001359F2"/>
    <w:rsid w:val="00135C88"/>
    <w:rsid w:val="001379AA"/>
    <w:rsid w:val="00137DBD"/>
    <w:rsid w:val="00140FC0"/>
    <w:rsid w:val="0014529D"/>
    <w:rsid w:val="00145E07"/>
    <w:rsid w:val="00150388"/>
    <w:rsid w:val="00150A83"/>
    <w:rsid w:val="00150F1F"/>
    <w:rsid w:val="001514B8"/>
    <w:rsid w:val="0015524C"/>
    <w:rsid w:val="00155EF9"/>
    <w:rsid w:val="001567B8"/>
    <w:rsid w:val="00156D5C"/>
    <w:rsid w:val="00160C9C"/>
    <w:rsid w:val="001611ED"/>
    <w:rsid w:val="001613AB"/>
    <w:rsid w:val="00161968"/>
    <w:rsid w:val="00163626"/>
    <w:rsid w:val="001638F8"/>
    <w:rsid w:val="00163CE1"/>
    <w:rsid w:val="001640AA"/>
    <w:rsid w:val="001649B3"/>
    <w:rsid w:val="001676C0"/>
    <w:rsid w:val="00171936"/>
    <w:rsid w:val="00171EC6"/>
    <w:rsid w:val="001721CC"/>
    <w:rsid w:val="0017251E"/>
    <w:rsid w:val="00172E5B"/>
    <w:rsid w:val="00174895"/>
    <w:rsid w:val="00174A28"/>
    <w:rsid w:val="001755F3"/>
    <w:rsid w:val="0017585C"/>
    <w:rsid w:val="00175C4D"/>
    <w:rsid w:val="00176B6E"/>
    <w:rsid w:val="0017730D"/>
    <w:rsid w:val="001773A3"/>
    <w:rsid w:val="00180F49"/>
    <w:rsid w:val="00181F2A"/>
    <w:rsid w:val="0018378E"/>
    <w:rsid w:val="0018698F"/>
    <w:rsid w:val="001903AE"/>
    <w:rsid w:val="0019065B"/>
    <w:rsid w:val="00190EF0"/>
    <w:rsid w:val="00192317"/>
    <w:rsid w:val="00194411"/>
    <w:rsid w:val="00194B8D"/>
    <w:rsid w:val="0019749C"/>
    <w:rsid w:val="001A1FD3"/>
    <w:rsid w:val="001A389E"/>
    <w:rsid w:val="001A75F1"/>
    <w:rsid w:val="001A77EB"/>
    <w:rsid w:val="001B0775"/>
    <w:rsid w:val="001B0D37"/>
    <w:rsid w:val="001B11B5"/>
    <w:rsid w:val="001B2BC4"/>
    <w:rsid w:val="001B31EB"/>
    <w:rsid w:val="001B3B4C"/>
    <w:rsid w:val="001B4355"/>
    <w:rsid w:val="001B7166"/>
    <w:rsid w:val="001B775E"/>
    <w:rsid w:val="001B7EBF"/>
    <w:rsid w:val="001C03D8"/>
    <w:rsid w:val="001C0DB8"/>
    <w:rsid w:val="001C5645"/>
    <w:rsid w:val="001C718A"/>
    <w:rsid w:val="001D0284"/>
    <w:rsid w:val="001D08DC"/>
    <w:rsid w:val="001D0A65"/>
    <w:rsid w:val="001D237F"/>
    <w:rsid w:val="001D3D01"/>
    <w:rsid w:val="001E0992"/>
    <w:rsid w:val="001E1506"/>
    <w:rsid w:val="001E187C"/>
    <w:rsid w:val="001E23AD"/>
    <w:rsid w:val="001E2466"/>
    <w:rsid w:val="001E2596"/>
    <w:rsid w:val="001E6594"/>
    <w:rsid w:val="001E71D3"/>
    <w:rsid w:val="001F16E8"/>
    <w:rsid w:val="001F2440"/>
    <w:rsid w:val="001F5C25"/>
    <w:rsid w:val="001F6920"/>
    <w:rsid w:val="001F72E1"/>
    <w:rsid w:val="00200EEF"/>
    <w:rsid w:val="0020359D"/>
    <w:rsid w:val="00206F7B"/>
    <w:rsid w:val="0020791F"/>
    <w:rsid w:val="00210D4C"/>
    <w:rsid w:val="00211C44"/>
    <w:rsid w:val="00212A73"/>
    <w:rsid w:val="00214751"/>
    <w:rsid w:val="00215393"/>
    <w:rsid w:val="00217A2D"/>
    <w:rsid w:val="0022129F"/>
    <w:rsid w:val="00222076"/>
    <w:rsid w:val="00222953"/>
    <w:rsid w:val="00222B86"/>
    <w:rsid w:val="00223585"/>
    <w:rsid w:val="002238FE"/>
    <w:rsid w:val="00226635"/>
    <w:rsid w:val="00227E10"/>
    <w:rsid w:val="00231B96"/>
    <w:rsid w:val="00232133"/>
    <w:rsid w:val="00232A2A"/>
    <w:rsid w:val="00232E22"/>
    <w:rsid w:val="002333FB"/>
    <w:rsid w:val="00234078"/>
    <w:rsid w:val="00235868"/>
    <w:rsid w:val="0023732F"/>
    <w:rsid w:val="002418F1"/>
    <w:rsid w:val="00246264"/>
    <w:rsid w:val="002466BA"/>
    <w:rsid w:val="00247023"/>
    <w:rsid w:val="00251122"/>
    <w:rsid w:val="00251DBE"/>
    <w:rsid w:val="00251F16"/>
    <w:rsid w:val="0025258E"/>
    <w:rsid w:val="00253702"/>
    <w:rsid w:val="0025612B"/>
    <w:rsid w:val="00256CEA"/>
    <w:rsid w:val="00261E30"/>
    <w:rsid w:val="00262A75"/>
    <w:rsid w:val="002637E3"/>
    <w:rsid w:val="0026381C"/>
    <w:rsid w:val="0026400B"/>
    <w:rsid w:val="00265276"/>
    <w:rsid w:val="00266CBB"/>
    <w:rsid w:val="00267865"/>
    <w:rsid w:val="002679ED"/>
    <w:rsid w:val="00267D63"/>
    <w:rsid w:val="0027097E"/>
    <w:rsid w:val="00271A51"/>
    <w:rsid w:val="00273066"/>
    <w:rsid w:val="00273DB4"/>
    <w:rsid w:val="00273F56"/>
    <w:rsid w:val="00277901"/>
    <w:rsid w:val="00280034"/>
    <w:rsid w:val="0028069E"/>
    <w:rsid w:val="0028091B"/>
    <w:rsid w:val="00280EDE"/>
    <w:rsid w:val="00281B25"/>
    <w:rsid w:val="00281BAB"/>
    <w:rsid w:val="00282B3E"/>
    <w:rsid w:val="0028479E"/>
    <w:rsid w:val="002857B1"/>
    <w:rsid w:val="00286CC5"/>
    <w:rsid w:val="00287A70"/>
    <w:rsid w:val="00291211"/>
    <w:rsid w:val="0029146B"/>
    <w:rsid w:val="00291994"/>
    <w:rsid w:val="00291BE8"/>
    <w:rsid w:val="00292365"/>
    <w:rsid w:val="00297CDA"/>
    <w:rsid w:val="00297E60"/>
    <w:rsid w:val="002A1144"/>
    <w:rsid w:val="002A281D"/>
    <w:rsid w:val="002A3A40"/>
    <w:rsid w:val="002A53E4"/>
    <w:rsid w:val="002A58CE"/>
    <w:rsid w:val="002A5E8E"/>
    <w:rsid w:val="002A6C63"/>
    <w:rsid w:val="002B1C0E"/>
    <w:rsid w:val="002B23C7"/>
    <w:rsid w:val="002B31D9"/>
    <w:rsid w:val="002B6967"/>
    <w:rsid w:val="002B71F4"/>
    <w:rsid w:val="002B7EAC"/>
    <w:rsid w:val="002C06E7"/>
    <w:rsid w:val="002C140E"/>
    <w:rsid w:val="002C1D9E"/>
    <w:rsid w:val="002C37FD"/>
    <w:rsid w:val="002C4F77"/>
    <w:rsid w:val="002C509F"/>
    <w:rsid w:val="002C5EC9"/>
    <w:rsid w:val="002C6DC6"/>
    <w:rsid w:val="002C72F6"/>
    <w:rsid w:val="002C7AB8"/>
    <w:rsid w:val="002C7FFA"/>
    <w:rsid w:val="002D2319"/>
    <w:rsid w:val="002D2F0E"/>
    <w:rsid w:val="002D3F80"/>
    <w:rsid w:val="002D4D44"/>
    <w:rsid w:val="002D537C"/>
    <w:rsid w:val="002D6A17"/>
    <w:rsid w:val="002D6E58"/>
    <w:rsid w:val="002E06C4"/>
    <w:rsid w:val="002E10A5"/>
    <w:rsid w:val="002E24DD"/>
    <w:rsid w:val="002E513C"/>
    <w:rsid w:val="002E55E0"/>
    <w:rsid w:val="002E5A04"/>
    <w:rsid w:val="002E74B2"/>
    <w:rsid w:val="002E773A"/>
    <w:rsid w:val="002F04C1"/>
    <w:rsid w:val="002F2508"/>
    <w:rsid w:val="002F3838"/>
    <w:rsid w:val="002F4869"/>
    <w:rsid w:val="002F57F6"/>
    <w:rsid w:val="002F64CA"/>
    <w:rsid w:val="002F68BF"/>
    <w:rsid w:val="002F7D4B"/>
    <w:rsid w:val="00300500"/>
    <w:rsid w:val="00300F53"/>
    <w:rsid w:val="00301E64"/>
    <w:rsid w:val="003020BF"/>
    <w:rsid w:val="003036CC"/>
    <w:rsid w:val="00305A7C"/>
    <w:rsid w:val="00305A7E"/>
    <w:rsid w:val="00305FFF"/>
    <w:rsid w:val="0030630D"/>
    <w:rsid w:val="00306F96"/>
    <w:rsid w:val="00307182"/>
    <w:rsid w:val="00307516"/>
    <w:rsid w:val="003075EC"/>
    <w:rsid w:val="00307F88"/>
    <w:rsid w:val="00311C3B"/>
    <w:rsid w:val="003129E6"/>
    <w:rsid w:val="0031649E"/>
    <w:rsid w:val="00321012"/>
    <w:rsid w:val="0032191C"/>
    <w:rsid w:val="00322363"/>
    <w:rsid w:val="00322C65"/>
    <w:rsid w:val="0032316A"/>
    <w:rsid w:val="0032347A"/>
    <w:rsid w:val="00323721"/>
    <w:rsid w:val="003239D8"/>
    <w:rsid w:val="003254B1"/>
    <w:rsid w:val="003255F7"/>
    <w:rsid w:val="003256E8"/>
    <w:rsid w:val="00326F7B"/>
    <w:rsid w:val="0033223B"/>
    <w:rsid w:val="003328BE"/>
    <w:rsid w:val="00335B41"/>
    <w:rsid w:val="00337E23"/>
    <w:rsid w:val="003414D3"/>
    <w:rsid w:val="003419C7"/>
    <w:rsid w:val="00343098"/>
    <w:rsid w:val="003431F9"/>
    <w:rsid w:val="00344519"/>
    <w:rsid w:val="0034492A"/>
    <w:rsid w:val="003464F0"/>
    <w:rsid w:val="003466D1"/>
    <w:rsid w:val="00346C5A"/>
    <w:rsid w:val="00350E9A"/>
    <w:rsid w:val="00352A7A"/>
    <w:rsid w:val="003539AC"/>
    <w:rsid w:val="00354C4F"/>
    <w:rsid w:val="00355A02"/>
    <w:rsid w:val="00355A32"/>
    <w:rsid w:val="003567DF"/>
    <w:rsid w:val="003605BB"/>
    <w:rsid w:val="003617F2"/>
    <w:rsid w:val="00362F83"/>
    <w:rsid w:val="00363A1F"/>
    <w:rsid w:val="00364657"/>
    <w:rsid w:val="00364750"/>
    <w:rsid w:val="0036479E"/>
    <w:rsid w:val="0036529F"/>
    <w:rsid w:val="00365E98"/>
    <w:rsid w:val="003677E8"/>
    <w:rsid w:val="00367970"/>
    <w:rsid w:val="003711CE"/>
    <w:rsid w:val="0037170F"/>
    <w:rsid w:val="00373DC5"/>
    <w:rsid w:val="00380094"/>
    <w:rsid w:val="003804D6"/>
    <w:rsid w:val="0038074B"/>
    <w:rsid w:val="00380A88"/>
    <w:rsid w:val="00380E96"/>
    <w:rsid w:val="003824BB"/>
    <w:rsid w:val="00384377"/>
    <w:rsid w:val="00384666"/>
    <w:rsid w:val="00384817"/>
    <w:rsid w:val="00387EA9"/>
    <w:rsid w:val="003902E6"/>
    <w:rsid w:val="00392D99"/>
    <w:rsid w:val="00393308"/>
    <w:rsid w:val="00395F23"/>
    <w:rsid w:val="003A1B85"/>
    <w:rsid w:val="003A4C91"/>
    <w:rsid w:val="003B07A4"/>
    <w:rsid w:val="003B09E6"/>
    <w:rsid w:val="003B3E51"/>
    <w:rsid w:val="003B3E91"/>
    <w:rsid w:val="003B553F"/>
    <w:rsid w:val="003B6B4F"/>
    <w:rsid w:val="003B6BA3"/>
    <w:rsid w:val="003B7A8C"/>
    <w:rsid w:val="003B7C7B"/>
    <w:rsid w:val="003B7EAF"/>
    <w:rsid w:val="003C1D34"/>
    <w:rsid w:val="003C21F1"/>
    <w:rsid w:val="003C3E91"/>
    <w:rsid w:val="003C414D"/>
    <w:rsid w:val="003C452B"/>
    <w:rsid w:val="003C5507"/>
    <w:rsid w:val="003C655E"/>
    <w:rsid w:val="003C705F"/>
    <w:rsid w:val="003C716F"/>
    <w:rsid w:val="003C7464"/>
    <w:rsid w:val="003C7D9A"/>
    <w:rsid w:val="003D19EB"/>
    <w:rsid w:val="003D1AE4"/>
    <w:rsid w:val="003D1E05"/>
    <w:rsid w:val="003D254C"/>
    <w:rsid w:val="003D260A"/>
    <w:rsid w:val="003D3928"/>
    <w:rsid w:val="003D43A4"/>
    <w:rsid w:val="003D62C0"/>
    <w:rsid w:val="003D67EA"/>
    <w:rsid w:val="003D6EFA"/>
    <w:rsid w:val="003D6F04"/>
    <w:rsid w:val="003E0294"/>
    <w:rsid w:val="003E1019"/>
    <w:rsid w:val="003E3A23"/>
    <w:rsid w:val="003E3D61"/>
    <w:rsid w:val="003E3F4A"/>
    <w:rsid w:val="003E4F50"/>
    <w:rsid w:val="003E5656"/>
    <w:rsid w:val="003E78B9"/>
    <w:rsid w:val="003F04C9"/>
    <w:rsid w:val="003F1443"/>
    <w:rsid w:val="003F1E6D"/>
    <w:rsid w:val="003F2ECB"/>
    <w:rsid w:val="003F3E27"/>
    <w:rsid w:val="003F4CBE"/>
    <w:rsid w:val="003F597D"/>
    <w:rsid w:val="003F790D"/>
    <w:rsid w:val="0040061F"/>
    <w:rsid w:val="00400EF1"/>
    <w:rsid w:val="0040273E"/>
    <w:rsid w:val="004033C5"/>
    <w:rsid w:val="00403A6B"/>
    <w:rsid w:val="00404B95"/>
    <w:rsid w:val="00404BE5"/>
    <w:rsid w:val="00405284"/>
    <w:rsid w:val="004074F5"/>
    <w:rsid w:val="00410E42"/>
    <w:rsid w:val="00414A12"/>
    <w:rsid w:val="00415815"/>
    <w:rsid w:val="00415C07"/>
    <w:rsid w:val="0041746C"/>
    <w:rsid w:val="00420456"/>
    <w:rsid w:val="00421676"/>
    <w:rsid w:val="004219A4"/>
    <w:rsid w:val="00424C14"/>
    <w:rsid w:val="00424C2B"/>
    <w:rsid w:val="004261B1"/>
    <w:rsid w:val="004303D4"/>
    <w:rsid w:val="0043160C"/>
    <w:rsid w:val="00431814"/>
    <w:rsid w:val="0043204C"/>
    <w:rsid w:val="00432BB5"/>
    <w:rsid w:val="00432F75"/>
    <w:rsid w:val="00435F1A"/>
    <w:rsid w:val="00437101"/>
    <w:rsid w:val="004372CA"/>
    <w:rsid w:val="00441164"/>
    <w:rsid w:val="004413D4"/>
    <w:rsid w:val="00447DB0"/>
    <w:rsid w:val="00451246"/>
    <w:rsid w:val="00453356"/>
    <w:rsid w:val="00453AA5"/>
    <w:rsid w:val="004543D7"/>
    <w:rsid w:val="00455BB6"/>
    <w:rsid w:val="004561D7"/>
    <w:rsid w:val="004576E8"/>
    <w:rsid w:val="00460191"/>
    <w:rsid w:val="00460C07"/>
    <w:rsid w:val="00464E8E"/>
    <w:rsid w:val="004658A6"/>
    <w:rsid w:val="0046647B"/>
    <w:rsid w:val="00467DCB"/>
    <w:rsid w:val="0047032C"/>
    <w:rsid w:val="00471B35"/>
    <w:rsid w:val="00471F2D"/>
    <w:rsid w:val="00472152"/>
    <w:rsid w:val="004733CB"/>
    <w:rsid w:val="004733E5"/>
    <w:rsid w:val="00473443"/>
    <w:rsid w:val="00474FDA"/>
    <w:rsid w:val="004773ED"/>
    <w:rsid w:val="00477C81"/>
    <w:rsid w:val="0048056C"/>
    <w:rsid w:val="004810BE"/>
    <w:rsid w:val="00481720"/>
    <w:rsid w:val="0048232F"/>
    <w:rsid w:val="004827BF"/>
    <w:rsid w:val="00483807"/>
    <w:rsid w:val="004859A7"/>
    <w:rsid w:val="0048611A"/>
    <w:rsid w:val="00486F2A"/>
    <w:rsid w:val="004875A8"/>
    <w:rsid w:val="004875CB"/>
    <w:rsid w:val="00487F92"/>
    <w:rsid w:val="004906CD"/>
    <w:rsid w:val="004908B9"/>
    <w:rsid w:val="00490A7D"/>
    <w:rsid w:val="004926E4"/>
    <w:rsid w:val="00493CD3"/>
    <w:rsid w:val="00493D16"/>
    <w:rsid w:val="004959BE"/>
    <w:rsid w:val="00497CB8"/>
    <w:rsid w:val="004A2C82"/>
    <w:rsid w:val="004A2D76"/>
    <w:rsid w:val="004A3AF0"/>
    <w:rsid w:val="004A4C72"/>
    <w:rsid w:val="004B0BC1"/>
    <w:rsid w:val="004B3B5D"/>
    <w:rsid w:val="004B55D2"/>
    <w:rsid w:val="004B60E9"/>
    <w:rsid w:val="004B6291"/>
    <w:rsid w:val="004B723B"/>
    <w:rsid w:val="004C1C92"/>
    <w:rsid w:val="004C1DD3"/>
    <w:rsid w:val="004C42DC"/>
    <w:rsid w:val="004D05F3"/>
    <w:rsid w:val="004D0B28"/>
    <w:rsid w:val="004D0ECD"/>
    <w:rsid w:val="004D0F84"/>
    <w:rsid w:val="004D1921"/>
    <w:rsid w:val="004D2106"/>
    <w:rsid w:val="004D2F7F"/>
    <w:rsid w:val="004D4E8A"/>
    <w:rsid w:val="004E0671"/>
    <w:rsid w:val="004E133B"/>
    <w:rsid w:val="004E1459"/>
    <w:rsid w:val="004E14E2"/>
    <w:rsid w:val="004E1610"/>
    <w:rsid w:val="004E2E13"/>
    <w:rsid w:val="004E3001"/>
    <w:rsid w:val="004E31EA"/>
    <w:rsid w:val="004E5D66"/>
    <w:rsid w:val="004E5D79"/>
    <w:rsid w:val="004E6708"/>
    <w:rsid w:val="004E6A3E"/>
    <w:rsid w:val="004E7100"/>
    <w:rsid w:val="004E7D94"/>
    <w:rsid w:val="004F0D07"/>
    <w:rsid w:val="004F1032"/>
    <w:rsid w:val="004F250E"/>
    <w:rsid w:val="004F291E"/>
    <w:rsid w:val="004F55B1"/>
    <w:rsid w:val="004F67FC"/>
    <w:rsid w:val="00500010"/>
    <w:rsid w:val="005010B5"/>
    <w:rsid w:val="00501166"/>
    <w:rsid w:val="0050243F"/>
    <w:rsid w:val="00503682"/>
    <w:rsid w:val="00503C09"/>
    <w:rsid w:val="00505F3B"/>
    <w:rsid w:val="005060E3"/>
    <w:rsid w:val="00506F3F"/>
    <w:rsid w:val="0050781D"/>
    <w:rsid w:val="00507F90"/>
    <w:rsid w:val="00510158"/>
    <w:rsid w:val="00511CB8"/>
    <w:rsid w:val="00514B7A"/>
    <w:rsid w:val="00517FB1"/>
    <w:rsid w:val="00520E5E"/>
    <w:rsid w:val="00521CA6"/>
    <w:rsid w:val="0052211B"/>
    <w:rsid w:val="00522A8B"/>
    <w:rsid w:val="00523221"/>
    <w:rsid w:val="00523672"/>
    <w:rsid w:val="00523752"/>
    <w:rsid w:val="00523C0D"/>
    <w:rsid w:val="0052448A"/>
    <w:rsid w:val="00524A87"/>
    <w:rsid w:val="00525115"/>
    <w:rsid w:val="00525359"/>
    <w:rsid w:val="0052537B"/>
    <w:rsid w:val="00531B66"/>
    <w:rsid w:val="00532F72"/>
    <w:rsid w:val="00533560"/>
    <w:rsid w:val="0053372B"/>
    <w:rsid w:val="005338EC"/>
    <w:rsid w:val="00533A79"/>
    <w:rsid w:val="00534AA0"/>
    <w:rsid w:val="005352BC"/>
    <w:rsid w:val="005357B3"/>
    <w:rsid w:val="00535CB9"/>
    <w:rsid w:val="00536400"/>
    <w:rsid w:val="0054073A"/>
    <w:rsid w:val="00541005"/>
    <w:rsid w:val="00543BA8"/>
    <w:rsid w:val="005448C8"/>
    <w:rsid w:val="00545A7A"/>
    <w:rsid w:val="0054774A"/>
    <w:rsid w:val="00547AE8"/>
    <w:rsid w:val="005519DB"/>
    <w:rsid w:val="00551A22"/>
    <w:rsid w:val="005559B0"/>
    <w:rsid w:val="00556537"/>
    <w:rsid w:val="005601F0"/>
    <w:rsid w:val="00560483"/>
    <w:rsid w:val="00560F64"/>
    <w:rsid w:val="005638A4"/>
    <w:rsid w:val="00566051"/>
    <w:rsid w:val="0056738E"/>
    <w:rsid w:val="00570B2F"/>
    <w:rsid w:val="005764A3"/>
    <w:rsid w:val="005804C1"/>
    <w:rsid w:val="00584858"/>
    <w:rsid w:val="00584D4C"/>
    <w:rsid w:val="0058725C"/>
    <w:rsid w:val="00587714"/>
    <w:rsid w:val="0059754F"/>
    <w:rsid w:val="005A02ED"/>
    <w:rsid w:val="005A1313"/>
    <w:rsid w:val="005A17CC"/>
    <w:rsid w:val="005A17EF"/>
    <w:rsid w:val="005A2D69"/>
    <w:rsid w:val="005A461B"/>
    <w:rsid w:val="005A4CC5"/>
    <w:rsid w:val="005A5E54"/>
    <w:rsid w:val="005A700A"/>
    <w:rsid w:val="005A77B5"/>
    <w:rsid w:val="005B0D18"/>
    <w:rsid w:val="005B12B3"/>
    <w:rsid w:val="005B2B07"/>
    <w:rsid w:val="005B2EDB"/>
    <w:rsid w:val="005B3438"/>
    <w:rsid w:val="005B390D"/>
    <w:rsid w:val="005B55B5"/>
    <w:rsid w:val="005B719B"/>
    <w:rsid w:val="005C010C"/>
    <w:rsid w:val="005C04C8"/>
    <w:rsid w:val="005C08C0"/>
    <w:rsid w:val="005C0950"/>
    <w:rsid w:val="005C2032"/>
    <w:rsid w:val="005C315A"/>
    <w:rsid w:val="005C33B3"/>
    <w:rsid w:val="005C3886"/>
    <w:rsid w:val="005C3987"/>
    <w:rsid w:val="005C46B4"/>
    <w:rsid w:val="005C562A"/>
    <w:rsid w:val="005C647A"/>
    <w:rsid w:val="005C66A7"/>
    <w:rsid w:val="005D0A61"/>
    <w:rsid w:val="005D72AE"/>
    <w:rsid w:val="005D7914"/>
    <w:rsid w:val="005E1E48"/>
    <w:rsid w:val="005E26D7"/>
    <w:rsid w:val="005E37BD"/>
    <w:rsid w:val="005E3AE3"/>
    <w:rsid w:val="005F1A9C"/>
    <w:rsid w:val="005F3CBE"/>
    <w:rsid w:val="005F591C"/>
    <w:rsid w:val="00600C54"/>
    <w:rsid w:val="006010F4"/>
    <w:rsid w:val="00601945"/>
    <w:rsid w:val="0060439C"/>
    <w:rsid w:val="0060528E"/>
    <w:rsid w:val="00605ED5"/>
    <w:rsid w:val="00606DB9"/>
    <w:rsid w:val="00610452"/>
    <w:rsid w:val="00611F35"/>
    <w:rsid w:val="00612E16"/>
    <w:rsid w:val="00612EDA"/>
    <w:rsid w:val="00614FD0"/>
    <w:rsid w:val="006156DE"/>
    <w:rsid w:val="00616787"/>
    <w:rsid w:val="00616A0E"/>
    <w:rsid w:val="00617F4A"/>
    <w:rsid w:val="00620AEF"/>
    <w:rsid w:val="00620BF3"/>
    <w:rsid w:val="006220FA"/>
    <w:rsid w:val="0062216A"/>
    <w:rsid w:val="00622213"/>
    <w:rsid w:val="0062275F"/>
    <w:rsid w:val="006227B4"/>
    <w:rsid w:val="00622E35"/>
    <w:rsid w:val="0062736F"/>
    <w:rsid w:val="0063151F"/>
    <w:rsid w:val="00631CF5"/>
    <w:rsid w:val="00631FBF"/>
    <w:rsid w:val="006321F3"/>
    <w:rsid w:val="00632434"/>
    <w:rsid w:val="00633D4C"/>
    <w:rsid w:val="006346FD"/>
    <w:rsid w:val="00634FAF"/>
    <w:rsid w:val="0063518A"/>
    <w:rsid w:val="006355E2"/>
    <w:rsid w:val="0063616B"/>
    <w:rsid w:val="00636422"/>
    <w:rsid w:val="00636D12"/>
    <w:rsid w:val="00636DF3"/>
    <w:rsid w:val="0064027A"/>
    <w:rsid w:val="00640DB3"/>
    <w:rsid w:val="006410FB"/>
    <w:rsid w:val="006439F4"/>
    <w:rsid w:val="0064475A"/>
    <w:rsid w:val="00645208"/>
    <w:rsid w:val="00646383"/>
    <w:rsid w:val="00646A50"/>
    <w:rsid w:val="00646E38"/>
    <w:rsid w:val="0064725C"/>
    <w:rsid w:val="006516EB"/>
    <w:rsid w:val="00651CB4"/>
    <w:rsid w:val="00651CEF"/>
    <w:rsid w:val="00651D65"/>
    <w:rsid w:val="00652595"/>
    <w:rsid w:val="00652928"/>
    <w:rsid w:val="0065367F"/>
    <w:rsid w:val="00653731"/>
    <w:rsid w:val="00653D1C"/>
    <w:rsid w:val="00654559"/>
    <w:rsid w:val="00656AD4"/>
    <w:rsid w:val="00656D57"/>
    <w:rsid w:val="00656E70"/>
    <w:rsid w:val="00660F24"/>
    <w:rsid w:val="00663CDC"/>
    <w:rsid w:val="00664FAB"/>
    <w:rsid w:val="00665B8B"/>
    <w:rsid w:val="00667767"/>
    <w:rsid w:val="0067032E"/>
    <w:rsid w:val="00671191"/>
    <w:rsid w:val="00672890"/>
    <w:rsid w:val="00673EAA"/>
    <w:rsid w:val="00674790"/>
    <w:rsid w:val="00676061"/>
    <w:rsid w:val="00676B41"/>
    <w:rsid w:val="00676CE4"/>
    <w:rsid w:val="006805F9"/>
    <w:rsid w:val="0068091D"/>
    <w:rsid w:val="0068202F"/>
    <w:rsid w:val="006858A8"/>
    <w:rsid w:val="00686DAA"/>
    <w:rsid w:val="00687FFA"/>
    <w:rsid w:val="0069332D"/>
    <w:rsid w:val="006934FF"/>
    <w:rsid w:val="00694205"/>
    <w:rsid w:val="006956A1"/>
    <w:rsid w:val="00695CA2"/>
    <w:rsid w:val="006A0334"/>
    <w:rsid w:val="006A19F3"/>
    <w:rsid w:val="006A4B96"/>
    <w:rsid w:val="006A648A"/>
    <w:rsid w:val="006A666C"/>
    <w:rsid w:val="006A66F7"/>
    <w:rsid w:val="006A7D82"/>
    <w:rsid w:val="006B108E"/>
    <w:rsid w:val="006B15B6"/>
    <w:rsid w:val="006B3C0C"/>
    <w:rsid w:val="006B3F7B"/>
    <w:rsid w:val="006B4BE5"/>
    <w:rsid w:val="006B53EE"/>
    <w:rsid w:val="006B7C71"/>
    <w:rsid w:val="006C022A"/>
    <w:rsid w:val="006C2B6F"/>
    <w:rsid w:val="006C2F89"/>
    <w:rsid w:val="006C2FD1"/>
    <w:rsid w:val="006C38C8"/>
    <w:rsid w:val="006C78E1"/>
    <w:rsid w:val="006D1C10"/>
    <w:rsid w:val="006D24C0"/>
    <w:rsid w:val="006D39DD"/>
    <w:rsid w:val="006D457E"/>
    <w:rsid w:val="006D53F4"/>
    <w:rsid w:val="006D566B"/>
    <w:rsid w:val="006D57A5"/>
    <w:rsid w:val="006D7397"/>
    <w:rsid w:val="006E0B5C"/>
    <w:rsid w:val="006E0C84"/>
    <w:rsid w:val="006E108E"/>
    <w:rsid w:val="006E2E5E"/>
    <w:rsid w:val="006E2F9C"/>
    <w:rsid w:val="006E5450"/>
    <w:rsid w:val="006E6814"/>
    <w:rsid w:val="006E6CA8"/>
    <w:rsid w:val="006F357E"/>
    <w:rsid w:val="006F394F"/>
    <w:rsid w:val="006F5743"/>
    <w:rsid w:val="006F59C0"/>
    <w:rsid w:val="006F5D31"/>
    <w:rsid w:val="006F6442"/>
    <w:rsid w:val="006F7C0F"/>
    <w:rsid w:val="007001A0"/>
    <w:rsid w:val="007004FC"/>
    <w:rsid w:val="007021F9"/>
    <w:rsid w:val="00702A3C"/>
    <w:rsid w:val="00705143"/>
    <w:rsid w:val="0070551E"/>
    <w:rsid w:val="00705CBF"/>
    <w:rsid w:val="00705F61"/>
    <w:rsid w:val="007067E0"/>
    <w:rsid w:val="00707FE8"/>
    <w:rsid w:val="00710CE0"/>
    <w:rsid w:val="007113D8"/>
    <w:rsid w:val="0071209D"/>
    <w:rsid w:val="00712C73"/>
    <w:rsid w:val="00715965"/>
    <w:rsid w:val="00715A96"/>
    <w:rsid w:val="00716AFF"/>
    <w:rsid w:val="00717548"/>
    <w:rsid w:val="0072056C"/>
    <w:rsid w:val="00721096"/>
    <w:rsid w:val="00722168"/>
    <w:rsid w:val="00722595"/>
    <w:rsid w:val="00724862"/>
    <w:rsid w:val="00724D18"/>
    <w:rsid w:val="007256DD"/>
    <w:rsid w:val="00726298"/>
    <w:rsid w:val="00726EAE"/>
    <w:rsid w:val="00726EDF"/>
    <w:rsid w:val="0072730A"/>
    <w:rsid w:val="007274ED"/>
    <w:rsid w:val="00727529"/>
    <w:rsid w:val="0073146F"/>
    <w:rsid w:val="007318CE"/>
    <w:rsid w:val="00736059"/>
    <w:rsid w:val="00736070"/>
    <w:rsid w:val="00736581"/>
    <w:rsid w:val="00737FF2"/>
    <w:rsid w:val="00740B47"/>
    <w:rsid w:val="00740D7F"/>
    <w:rsid w:val="007432B0"/>
    <w:rsid w:val="00743709"/>
    <w:rsid w:val="00746843"/>
    <w:rsid w:val="00750996"/>
    <w:rsid w:val="00750D81"/>
    <w:rsid w:val="00751459"/>
    <w:rsid w:val="00752606"/>
    <w:rsid w:val="007537C3"/>
    <w:rsid w:val="007547FC"/>
    <w:rsid w:val="00756B3C"/>
    <w:rsid w:val="00760773"/>
    <w:rsid w:val="00760CB8"/>
    <w:rsid w:val="00762C7E"/>
    <w:rsid w:val="007632B1"/>
    <w:rsid w:val="0076416B"/>
    <w:rsid w:val="00764435"/>
    <w:rsid w:val="00764E54"/>
    <w:rsid w:val="00766E94"/>
    <w:rsid w:val="007675C7"/>
    <w:rsid w:val="00767E8F"/>
    <w:rsid w:val="007721E6"/>
    <w:rsid w:val="007726BA"/>
    <w:rsid w:val="00773380"/>
    <w:rsid w:val="00776185"/>
    <w:rsid w:val="00776FC8"/>
    <w:rsid w:val="00781B12"/>
    <w:rsid w:val="00782121"/>
    <w:rsid w:val="0078244C"/>
    <w:rsid w:val="00782CB6"/>
    <w:rsid w:val="0078351C"/>
    <w:rsid w:val="007847B1"/>
    <w:rsid w:val="007855C5"/>
    <w:rsid w:val="007868B8"/>
    <w:rsid w:val="0078769D"/>
    <w:rsid w:val="007903F7"/>
    <w:rsid w:val="00790DC0"/>
    <w:rsid w:val="00791873"/>
    <w:rsid w:val="007935DF"/>
    <w:rsid w:val="00793A60"/>
    <w:rsid w:val="00794F7A"/>
    <w:rsid w:val="00795333"/>
    <w:rsid w:val="00795618"/>
    <w:rsid w:val="00796B5C"/>
    <w:rsid w:val="00796D00"/>
    <w:rsid w:val="007A086C"/>
    <w:rsid w:val="007A286E"/>
    <w:rsid w:val="007A2960"/>
    <w:rsid w:val="007A4EB5"/>
    <w:rsid w:val="007A6607"/>
    <w:rsid w:val="007A7984"/>
    <w:rsid w:val="007B00F3"/>
    <w:rsid w:val="007B1333"/>
    <w:rsid w:val="007B265D"/>
    <w:rsid w:val="007B3E79"/>
    <w:rsid w:val="007B4E43"/>
    <w:rsid w:val="007B5CF9"/>
    <w:rsid w:val="007B5F84"/>
    <w:rsid w:val="007B6800"/>
    <w:rsid w:val="007B75E3"/>
    <w:rsid w:val="007C0598"/>
    <w:rsid w:val="007C0814"/>
    <w:rsid w:val="007C0A71"/>
    <w:rsid w:val="007C11BA"/>
    <w:rsid w:val="007C31E7"/>
    <w:rsid w:val="007C325B"/>
    <w:rsid w:val="007C39A8"/>
    <w:rsid w:val="007C44BD"/>
    <w:rsid w:val="007C4A3A"/>
    <w:rsid w:val="007C4A42"/>
    <w:rsid w:val="007C4E21"/>
    <w:rsid w:val="007C5491"/>
    <w:rsid w:val="007C70DF"/>
    <w:rsid w:val="007C7116"/>
    <w:rsid w:val="007D0786"/>
    <w:rsid w:val="007D1F26"/>
    <w:rsid w:val="007D2B83"/>
    <w:rsid w:val="007D2DF5"/>
    <w:rsid w:val="007D37D2"/>
    <w:rsid w:val="007D5AAB"/>
    <w:rsid w:val="007D671B"/>
    <w:rsid w:val="007E089A"/>
    <w:rsid w:val="007E0915"/>
    <w:rsid w:val="007E278B"/>
    <w:rsid w:val="007E28C1"/>
    <w:rsid w:val="007E2EF4"/>
    <w:rsid w:val="007E356B"/>
    <w:rsid w:val="007E4C7C"/>
    <w:rsid w:val="007E5ECE"/>
    <w:rsid w:val="007E613D"/>
    <w:rsid w:val="007F1277"/>
    <w:rsid w:val="007F72C5"/>
    <w:rsid w:val="008059F0"/>
    <w:rsid w:val="0080659F"/>
    <w:rsid w:val="00807F49"/>
    <w:rsid w:val="00811C9B"/>
    <w:rsid w:val="00811EC8"/>
    <w:rsid w:val="0081261B"/>
    <w:rsid w:val="008138C8"/>
    <w:rsid w:val="0081443B"/>
    <w:rsid w:val="00815DE6"/>
    <w:rsid w:val="00817159"/>
    <w:rsid w:val="008174A1"/>
    <w:rsid w:val="00822DB5"/>
    <w:rsid w:val="00823FAE"/>
    <w:rsid w:val="0082424D"/>
    <w:rsid w:val="00824FA6"/>
    <w:rsid w:val="00827042"/>
    <w:rsid w:val="00827A2A"/>
    <w:rsid w:val="008354C0"/>
    <w:rsid w:val="00841389"/>
    <w:rsid w:val="00841644"/>
    <w:rsid w:val="008420FC"/>
    <w:rsid w:val="0084621C"/>
    <w:rsid w:val="008475C2"/>
    <w:rsid w:val="00847CC9"/>
    <w:rsid w:val="008523AA"/>
    <w:rsid w:val="00853001"/>
    <w:rsid w:val="008532D4"/>
    <w:rsid w:val="00853952"/>
    <w:rsid w:val="00855188"/>
    <w:rsid w:val="008615A4"/>
    <w:rsid w:val="008620E4"/>
    <w:rsid w:val="0086237F"/>
    <w:rsid w:val="00862823"/>
    <w:rsid w:val="0086527E"/>
    <w:rsid w:val="00865749"/>
    <w:rsid w:val="00866798"/>
    <w:rsid w:val="0087110E"/>
    <w:rsid w:val="00871AF0"/>
    <w:rsid w:val="00871F08"/>
    <w:rsid w:val="00872E1F"/>
    <w:rsid w:val="00874259"/>
    <w:rsid w:val="00874655"/>
    <w:rsid w:val="00874AE4"/>
    <w:rsid w:val="0087534E"/>
    <w:rsid w:val="00875489"/>
    <w:rsid w:val="008757A3"/>
    <w:rsid w:val="008761C0"/>
    <w:rsid w:val="00880229"/>
    <w:rsid w:val="00880D93"/>
    <w:rsid w:val="0088124A"/>
    <w:rsid w:val="008821FC"/>
    <w:rsid w:val="00882202"/>
    <w:rsid w:val="0088231D"/>
    <w:rsid w:val="00882BE0"/>
    <w:rsid w:val="008837A3"/>
    <w:rsid w:val="0088434C"/>
    <w:rsid w:val="00884609"/>
    <w:rsid w:val="00884618"/>
    <w:rsid w:val="0088506F"/>
    <w:rsid w:val="00885B7D"/>
    <w:rsid w:val="00885F96"/>
    <w:rsid w:val="008868A6"/>
    <w:rsid w:val="00887DDA"/>
    <w:rsid w:val="00892FB3"/>
    <w:rsid w:val="0089331B"/>
    <w:rsid w:val="00896991"/>
    <w:rsid w:val="008A0456"/>
    <w:rsid w:val="008A05B9"/>
    <w:rsid w:val="008A1DD0"/>
    <w:rsid w:val="008A2C9E"/>
    <w:rsid w:val="008A360B"/>
    <w:rsid w:val="008A4929"/>
    <w:rsid w:val="008A4D3F"/>
    <w:rsid w:val="008B13E0"/>
    <w:rsid w:val="008B169E"/>
    <w:rsid w:val="008B361E"/>
    <w:rsid w:val="008B62D7"/>
    <w:rsid w:val="008B6FA3"/>
    <w:rsid w:val="008B75F4"/>
    <w:rsid w:val="008C0294"/>
    <w:rsid w:val="008C0337"/>
    <w:rsid w:val="008C43FC"/>
    <w:rsid w:val="008C4DAA"/>
    <w:rsid w:val="008C593B"/>
    <w:rsid w:val="008C5F99"/>
    <w:rsid w:val="008C637A"/>
    <w:rsid w:val="008C7704"/>
    <w:rsid w:val="008C7A0C"/>
    <w:rsid w:val="008D180E"/>
    <w:rsid w:val="008D20FD"/>
    <w:rsid w:val="008D213F"/>
    <w:rsid w:val="008D418E"/>
    <w:rsid w:val="008D4C79"/>
    <w:rsid w:val="008D736A"/>
    <w:rsid w:val="008D76B9"/>
    <w:rsid w:val="008E0372"/>
    <w:rsid w:val="008E2D10"/>
    <w:rsid w:val="008E4E60"/>
    <w:rsid w:val="008E5A7A"/>
    <w:rsid w:val="008E64A7"/>
    <w:rsid w:val="008E7D92"/>
    <w:rsid w:val="008F13C6"/>
    <w:rsid w:val="008F2189"/>
    <w:rsid w:val="008F48DB"/>
    <w:rsid w:val="008F59BE"/>
    <w:rsid w:val="008F6A5E"/>
    <w:rsid w:val="008F6E62"/>
    <w:rsid w:val="009001B4"/>
    <w:rsid w:val="00901FE2"/>
    <w:rsid w:val="00902739"/>
    <w:rsid w:val="00902B63"/>
    <w:rsid w:val="009036F2"/>
    <w:rsid w:val="00905826"/>
    <w:rsid w:val="00910661"/>
    <w:rsid w:val="0091141D"/>
    <w:rsid w:val="00911A2E"/>
    <w:rsid w:val="00912223"/>
    <w:rsid w:val="009134A3"/>
    <w:rsid w:val="009135DB"/>
    <w:rsid w:val="00913A78"/>
    <w:rsid w:val="0091461C"/>
    <w:rsid w:val="009149D9"/>
    <w:rsid w:val="0091503C"/>
    <w:rsid w:val="009167B3"/>
    <w:rsid w:val="00916C8B"/>
    <w:rsid w:val="00917716"/>
    <w:rsid w:val="0091786D"/>
    <w:rsid w:val="00917A6D"/>
    <w:rsid w:val="009203DB"/>
    <w:rsid w:val="00920EA1"/>
    <w:rsid w:val="00920EAC"/>
    <w:rsid w:val="0092101A"/>
    <w:rsid w:val="0092199B"/>
    <w:rsid w:val="00921B04"/>
    <w:rsid w:val="0092241E"/>
    <w:rsid w:val="0092414D"/>
    <w:rsid w:val="00925790"/>
    <w:rsid w:val="00925E11"/>
    <w:rsid w:val="0092652E"/>
    <w:rsid w:val="009309BC"/>
    <w:rsid w:val="00931CFD"/>
    <w:rsid w:val="00931F9A"/>
    <w:rsid w:val="00933074"/>
    <w:rsid w:val="00934EF2"/>
    <w:rsid w:val="00936603"/>
    <w:rsid w:val="00936CEA"/>
    <w:rsid w:val="009404A6"/>
    <w:rsid w:val="00942FED"/>
    <w:rsid w:val="00943223"/>
    <w:rsid w:val="00943F70"/>
    <w:rsid w:val="00944426"/>
    <w:rsid w:val="009447DF"/>
    <w:rsid w:val="00946AB3"/>
    <w:rsid w:val="009500E3"/>
    <w:rsid w:val="00950276"/>
    <w:rsid w:val="009522E1"/>
    <w:rsid w:val="009558D2"/>
    <w:rsid w:val="00957416"/>
    <w:rsid w:val="00960135"/>
    <w:rsid w:val="009601D9"/>
    <w:rsid w:val="00960490"/>
    <w:rsid w:val="0096133E"/>
    <w:rsid w:val="00963A21"/>
    <w:rsid w:val="009669AF"/>
    <w:rsid w:val="009673FB"/>
    <w:rsid w:val="00967653"/>
    <w:rsid w:val="00967BE8"/>
    <w:rsid w:val="0097029B"/>
    <w:rsid w:val="00971E60"/>
    <w:rsid w:val="00972877"/>
    <w:rsid w:val="00974569"/>
    <w:rsid w:val="009746CA"/>
    <w:rsid w:val="00974A20"/>
    <w:rsid w:val="00975BB7"/>
    <w:rsid w:val="009815F4"/>
    <w:rsid w:val="00983400"/>
    <w:rsid w:val="009841C6"/>
    <w:rsid w:val="0098437B"/>
    <w:rsid w:val="00987C74"/>
    <w:rsid w:val="009919FA"/>
    <w:rsid w:val="0099236C"/>
    <w:rsid w:val="00992932"/>
    <w:rsid w:val="00992FA7"/>
    <w:rsid w:val="009936D6"/>
    <w:rsid w:val="00993CCE"/>
    <w:rsid w:val="0099464F"/>
    <w:rsid w:val="009967EB"/>
    <w:rsid w:val="0099732F"/>
    <w:rsid w:val="009A0571"/>
    <w:rsid w:val="009A1F57"/>
    <w:rsid w:val="009A24ED"/>
    <w:rsid w:val="009A3719"/>
    <w:rsid w:val="009A3C91"/>
    <w:rsid w:val="009A4CC5"/>
    <w:rsid w:val="009A5AE5"/>
    <w:rsid w:val="009A621E"/>
    <w:rsid w:val="009A7931"/>
    <w:rsid w:val="009B1387"/>
    <w:rsid w:val="009B13DE"/>
    <w:rsid w:val="009B1EAD"/>
    <w:rsid w:val="009B3585"/>
    <w:rsid w:val="009B5635"/>
    <w:rsid w:val="009B58AD"/>
    <w:rsid w:val="009B591E"/>
    <w:rsid w:val="009B5AE3"/>
    <w:rsid w:val="009B62C3"/>
    <w:rsid w:val="009B66E2"/>
    <w:rsid w:val="009B72EF"/>
    <w:rsid w:val="009B7E89"/>
    <w:rsid w:val="009C0B6B"/>
    <w:rsid w:val="009C117F"/>
    <w:rsid w:val="009C2A43"/>
    <w:rsid w:val="009C3F3E"/>
    <w:rsid w:val="009C42DF"/>
    <w:rsid w:val="009C5AD2"/>
    <w:rsid w:val="009C6A6F"/>
    <w:rsid w:val="009C6C05"/>
    <w:rsid w:val="009C7E76"/>
    <w:rsid w:val="009D141D"/>
    <w:rsid w:val="009D17E4"/>
    <w:rsid w:val="009D2976"/>
    <w:rsid w:val="009D55BD"/>
    <w:rsid w:val="009D690F"/>
    <w:rsid w:val="009E0349"/>
    <w:rsid w:val="009E182D"/>
    <w:rsid w:val="009E2376"/>
    <w:rsid w:val="009E30BD"/>
    <w:rsid w:val="009E459C"/>
    <w:rsid w:val="009E781B"/>
    <w:rsid w:val="009E7BA4"/>
    <w:rsid w:val="009F3270"/>
    <w:rsid w:val="009F376B"/>
    <w:rsid w:val="009F499F"/>
    <w:rsid w:val="009F6AF1"/>
    <w:rsid w:val="009F6D3B"/>
    <w:rsid w:val="009F7C53"/>
    <w:rsid w:val="00A00656"/>
    <w:rsid w:val="00A0127D"/>
    <w:rsid w:val="00A01627"/>
    <w:rsid w:val="00A024D2"/>
    <w:rsid w:val="00A02527"/>
    <w:rsid w:val="00A04B7E"/>
    <w:rsid w:val="00A04DDD"/>
    <w:rsid w:val="00A057E5"/>
    <w:rsid w:val="00A05D1B"/>
    <w:rsid w:val="00A06451"/>
    <w:rsid w:val="00A06D5E"/>
    <w:rsid w:val="00A06DF8"/>
    <w:rsid w:val="00A10A2C"/>
    <w:rsid w:val="00A1120B"/>
    <w:rsid w:val="00A116A5"/>
    <w:rsid w:val="00A1220A"/>
    <w:rsid w:val="00A13EBB"/>
    <w:rsid w:val="00A149AB"/>
    <w:rsid w:val="00A157E6"/>
    <w:rsid w:val="00A160BA"/>
    <w:rsid w:val="00A16259"/>
    <w:rsid w:val="00A17819"/>
    <w:rsid w:val="00A2022D"/>
    <w:rsid w:val="00A205DF"/>
    <w:rsid w:val="00A20FBB"/>
    <w:rsid w:val="00A21020"/>
    <w:rsid w:val="00A21EB2"/>
    <w:rsid w:val="00A224E2"/>
    <w:rsid w:val="00A22FA5"/>
    <w:rsid w:val="00A23C49"/>
    <w:rsid w:val="00A266AC"/>
    <w:rsid w:val="00A27A16"/>
    <w:rsid w:val="00A27C79"/>
    <w:rsid w:val="00A30C18"/>
    <w:rsid w:val="00A31006"/>
    <w:rsid w:val="00A31CD7"/>
    <w:rsid w:val="00A33A7C"/>
    <w:rsid w:val="00A3559F"/>
    <w:rsid w:val="00A36CBA"/>
    <w:rsid w:val="00A4042C"/>
    <w:rsid w:val="00A4148F"/>
    <w:rsid w:val="00A4323B"/>
    <w:rsid w:val="00A4795E"/>
    <w:rsid w:val="00A47C58"/>
    <w:rsid w:val="00A51B0D"/>
    <w:rsid w:val="00A52E78"/>
    <w:rsid w:val="00A54899"/>
    <w:rsid w:val="00A54D44"/>
    <w:rsid w:val="00A56FEB"/>
    <w:rsid w:val="00A57659"/>
    <w:rsid w:val="00A57AD7"/>
    <w:rsid w:val="00A603F4"/>
    <w:rsid w:val="00A61250"/>
    <w:rsid w:val="00A6196A"/>
    <w:rsid w:val="00A6370A"/>
    <w:rsid w:val="00A64582"/>
    <w:rsid w:val="00A65E40"/>
    <w:rsid w:val="00A66935"/>
    <w:rsid w:val="00A66AA5"/>
    <w:rsid w:val="00A70667"/>
    <w:rsid w:val="00A7229E"/>
    <w:rsid w:val="00A72482"/>
    <w:rsid w:val="00A72F9D"/>
    <w:rsid w:val="00A73492"/>
    <w:rsid w:val="00A76313"/>
    <w:rsid w:val="00A77C84"/>
    <w:rsid w:val="00A81BB4"/>
    <w:rsid w:val="00A81F93"/>
    <w:rsid w:val="00A83FDB"/>
    <w:rsid w:val="00A84427"/>
    <w:rsid w:val="00A8442A"/>
    <w:rsid w:val="00A84637"/>
    <w:rsid w:val="00A85798"/>
    <w:rsid w:val="00A86193"/>
    <w:rsid w:val="00A92308"/>
    <w:rsid w:val="00A92AD3"/>
    <w:rsid w:val="00A93DE1"/>
    <w:rsid w:val="00A973DF"/>
    <w:rsid w:val="00AA0450"/>
    <w:rsid w:val="00AA0C3E"/>
    <w:rsid w:val="00AA10E7"/>
    <w:rsid w:val="00AA2587"/>
    <w:rsid w:val="00AA2777"/>
    <w:rsid w:val="00AA2FEB"/>
    <w:rsid w:val="00AA3E83"/>
    <w:rsid w:val="00AA6BBE"/>
    <w:rsid w:val="00AA724A"/>
    <w:rsid w:val="00AB1891"/>
    <w:rsid w:val="00AB1FDB"/>
    <w:rsid w:val="00AB28B4"/>
    <w:rsid w:val="00AB381F"/>
    <w:rsid w:val="00AB4009"/>
    <w:rsid w:val="00AB443C"/>
    <w:rsid w:val="00AB4783"/>
    <w:rsid w:val="00AB54DB"/>
    <w:rsid w:val="00AB5DF1"/>
    <w:rsid w:val="00AB5E50"/>
    <w:rsid w:val="00AB6A21"/>
    <w:rsid w:val="00AB7C5E"/>
    <w:rsid w:val="00AC08AF"/>
    <w:rsid w:val="00AC1297"/>
    <w:rsid w:val="00AC34CC"/>
    <w:rsid w:val="00AC5280"/>
    <w:rsid w:val="00AC57F3"/>
    <w:rsid w:val="00AC6323"/>
    <w:rsid w:val="00AC79BE"/>
    <w:rsid w:val="00AD0092"/>
    <w:rsid w:val="00AD188E"/>
    <w:rsid w:val="00AD240C"/>
    <w:rsid w:val="00AD3590"/>
    <w:rsid w:val="00AD37AA"/>
    <w:rsid w:val="00AD43F3"/>
    <w:rsid w:val="00AD66C0"/>
    <w:rsid w:val="00AD6AC9"/>
    <w:rsid w:val="00AE14F8"/>
    <w:rsid w:val="00AE1B1A"/>
    <w:rsid w:val="00AE1C15"/>
    <w:rsid w:val="00AE291D"/>
    <w:rsid w:val="00AE33F7"/>
    <w:rsid w:val="00AE3A45"/>
    <w:rsid w:val="00AE52E5"/>
    <w:rsid w:val="00AE5799"/>
    <w:rsid w:val="00AF0424"/>
    <w:rsid w:val="00AF06A6"/>
    <w:rsid w:val="00AF075F"/>
    <w:rsid w:val="00AF2583"/>
    <w:rsid w:val="00AF3E11"/>
    <w:rsid w:val="00AF71CB"/>
    <w:rsid w:val="00B004AC"/>
    <w:rsid w:val="00B01206"/>
    <w:rsid w:val="00B0256E"/>
    <w:rsid w:val="00B029D9"/>
    <w:rsid w:val="00B05562"/>
    <w:rsid w:val="00B07442"/>
    <w:rsid w:val="00B10FAE"/>
    <w:rsid w:val="00B11170"/>
    <w:rsid w:val="00B12245"/>
    <w:rsid w:val="00B12D99"/>
    <w:rsid w:val="00B13D64"/>
    <w:rsid w:val="00B14021"/>
    <w:rsid w:val="00B15046"/>
    <w:rsid w:val="00B154CB"/>
    <w:rsid w:val="00B173EE"/>
    <w:rsid w:val="00B1769D"/>
    <w:rsid w:val="00B203D8"/>
    <w:rsid w:val="00B306AA"/>
    <w:rsid w:val="00B315AE"/>
    <w:rsid w:val="00B31A5C"/>
    <w:rsid w:val="00B322E7"/>
    <w:rsid w:val="00B32832"/>
    <w:rsid w:val="00B332E6"/>
    <w:rsid w:val="00B3377F"/>
    <w:rsid w:val="00B33D13"/>
    <w:rsid w:val="00B34BF8"/>
    <w:rsid w:val="00B35500"/>
    <w:rsid w:val="00B35E54"/>
    <w:rsid w:val="00B35FA7"/>
    <w:rsid w:val="00B36345"/>
    <w:rsid w:val="00B367CF"/>
    <w:rsid w:val="00B37B84"/>
    <w:rsid w:val="00B40255"/>
    <w:rsid w:val="00B40686"/>
    <w:rsid w:val="00B40896"/>
    <w:rsid w:val="00B42B56"/>
    <w:rsid w:val="00B43D37"/>
    <w:rsid w:val="00B44245"/>
    <w:rsid w:val="00B460B9"/>
    <w:rsid w:val="00B533D4"/>
    <w:rsid w:val="00B548A3"/>
    <w:rsid w:val="00B5621A"/>
    <w:rsid w:val="00B56D55"/>
    <w:rsid w:val="00B56F98"/>
    <w:rsid w:val="00B60542"/>
    <w:rsid w:val="00B60BAD"/>
    <w:rsid w:val="00B6190A"/>
    <w:rsid w:val="00B62C84"/>
    <w:rsid w:val="00B6316B"/>
    <w:rsid w:val="00B63E3F"/>
    <w:rsid w:val="00B63EA7"/>
    <w:rsid w:val="00B64665"/>
    <w:rsid w:val="00B650FB"/>
    <w:rsid w:val="00B66668"/>
    <w:rsid w:val="00B67B6E"/>
    <w:rsid w:val="00B67F95"/>
    <w:rsid w:val="00B70ED1"/>
    <w:rsid w:val="00B724F8"/>
    <w:rsid w:val="00B768A8"/>
    <w:rsid w:val="00B772CE"/>
    <w:rsid w:val="00B81CFA"/>
    <w:rsid w:val="00B8279D"/>
    <w:rsid w:val="00B83F32"/>
    <w:rsid w:val="00B848E7"/>
    <w:rsid w:val="00B84AD4"/>
    <w:rsid w:val="00B84B9A"/>
    <w:rsid w:val="00B8562F"/>
    <w:rsid w:val="00B8729A"/>
    <w:rsid w:val="00B90703"/>
    <w:rsid w:val="00B90DB6"/>
    <w:rsid w:val="00B922B2"/>
    <w:rsid w:val="00B924F5"/>
    <w:rsid w:val="00B927FC"/>
    <w:rsid w:val="00B92C63"/>
    <w:rsid w:val="00B93CB8"/>
    <w:rsid w:val="00B94586"/>
    <w:rsid w:val="00B94E34"/>
    <w:rsid w:val="00B95173"/>
    <w:rsid w:val="00B951CE"/>
    <w:rsid w:val="00B959DE"/>
    <w:rsid w:val="00B95A83"/>
    <w:rsid w:val="00B9637E"/>
    <w:rsid w:val="00B9704C"/>
    <w:rsid w:val="00BA09A2"/>
    <w:rsid w:val="00BA0FB1"/>
    <w:rsid w:val="00BA2841"/>
    <w:rsid w:val="00BA374A"/>
    <w:rsid w:val="00BA4404"/>
    <w:rsid w:val="00BA7971"/>
    <w:rsid w:val="00BB060D"/>
    <w:rsid w:val="00BB1848"/>
    <w:rsid w:val="00BB1D6C"/>
    <w:rsid w:val="00BB26E9"/>
    <w:rsid w:val="00BB2C03"/>
    <w:rsid w:val="00BB36AE"/>
    <w:rsid w:val="00BB3C0E"/>
    <w:rsid w:val="00BB4468"/>
    <w:rsid w:val="00BC035F"/>
    <w:rsid w:val="00BC15B1"/>
    <w:rsid w:val="00BC19A5"/>
    <w:rsid w:val="00BC1E06"/>
    <w:rsid w:val="00BC3533"/>
    <w:rsid w:val="00BC3546"/>
    <w:rsid w:val="00BC421D"/>
    <w:rsid w:val="00BC51F2"/>
    <w:rsid w:val="00BC5926"/>
    <w:rsid w:val="00BC61F4"/>
    <w:rsid w:val="00BC64D4"/>
    <w:rsid w:val="00BC6D13"/>
    <w:rsid w:val="00BC70E8"/>
    <w:rsid w:val="00BC764F"/>
    <w:rsid w:val="00BD0092"/>
    <w:rsid w:val="00BD02CD"/>
    <w:rsid w:val="00BD1788"/>
    <w:rsid w:val="00BD1A0D"/>
    <w:rsid w:val="00BD2FFA"/>
    <w:rsid w:val="00BD3D79"/>
    <w:rsid w:val="00BD50FB"/>
    <w:rsid w:val="00BD64BA"/>
    <w:rsid w:val="00BD7008"/>
    <w:rsid w:val="00BE09DF"/>
    <w:rsid w:val="00BE1333"/>
    <w:rsid w:val="00BE22EA"/>
    <w:rsid w:val="00BE40B3"/>
    <w:rsid w:val="00BE5ADD"/>
    <w:rsid w:val="00BE5E5D"/>
    <w:rsid w:val="00BF0FC2"/>
    <w:rsid w:val="00BF1122"/>
    <w:rsid w:val="00BF4C68"/>
    <w:rsid w:val="00BF627F"/>
    <w:rsid w:val="00BF631F"/>
    <w:rsid w:val="00BF64B3"/>
    <w:rsid w:val="00BF742A"/>
    <w:rsid w:val="00C00145"/>
    <w:rsid w:val="00C006E2"/>
    <w:rsid w:val="00C012D4"/>
    <w:rsid w:val="00C0131B"/>
    <w:rsid w:val="00C043B1"/>
    <w:rsid w:val="00C051AF"/>
    <w:rsid w:val="00C054C2"/>
    <w:rsid w:val="00C06698"/>
    <w:rsid w:val="00C06707"/>
    <w:rsid w:val="00C06A3C"/>
    <w:rsid w:val="00C10CA4"/>
    <w:rsid w:val="00C2046C"/>
    <w:rsid w:val="00C219A8"/>
    <w:rsid w:val="00C22069"/>
    <w:rsid w:val="00C232BA"/>
    <w:rsid w:val="00C23D63"/>
    <w:rsid w:val="00C2416A"/>
    <w:rsid w:val="00C24435"/>
    <w:rsid w:val="00C26169"/>
    <w:rsid w:val="00C2748D"/>
    <w:rsid w:val="00C278FE"/>
    <w:rsid w:val="00C30523"/>
    <w:rsid w:val="00C307A6"/>
    <w:rsid w:val="00C32455"/>
    <w:rsid w:val="00C32E80"/>
    <w:rsid w:val="00C32EC6"/>
    <w:rsid w:val="00C34B04"/>
    <w:rsid w:val="00C37427"/>
    <w:rsid w:val="00C419E3"/>
    <w:rsid w:val="00C43284"/>
    <w:rsid w:val="00C44D7D"/>
    <w:rsid w:val="00C45209"/>
    <w:rsid w:val="00C53093"/>
    <w:rsid w:val="00C53439"/>
    <w:rsid w:val="00C5480E"/>
    <w:rsid w:val="00C5595B"/>
    <w:rsid w:val="00C55CAF"/>
    <w:rsid w:val="00C565E1"/>
    <w:rsid w:val="00C5711B"/>
    <w:rsid w:val="00C60AB6"/>
    <w:rsid w:val="00C60D7D"/>
    <w:rsid w:val="00C6111D"/>
    <w:rsid w:val="00C63C9C"/>
    <w:rsid w:val="00C6401C"/>
    <w:rsid w:val="00C65644"/>
    <w:rsid w:val="00C656D9"/>
    <w:rsid w:val="00C65FCA"/>
    <w:rsid w:val="00C6737A"/>
    <w:rsid w:val="00C70491"/>
    <w:rsid w:val="00C71852"/>
    <w:rsid w:val="00C71919"/>
    <w:rsid w:val="00C7244E"/>
    <w:rsid w:val="00C73126"/>
    <w:rsid w:val="00C73C8C"/>
    <w:rsid w:val="00C74B7C"/>
    <w:rsid w:val="00C74D5E"/>
    <w:rsid w:val="00C75036"/>
    <w:rsid w:val="00C75498"/>
    <w:rsid w:val="00C80D1D"/>
    <w:rsid w:val="00C823FA"/>
    <w:rsid w:val="00C82A5E"/>
    <w:rsid w:val="00C83227"/>
    <w:rsid w:val="00C85CDC"/>
    <w:rsid w:val="00C85F6F"/>
    <w:rsid w:val="00C86460"/>
    <w:rsid w:val="00C8687A"/>
    <w:rsid w:val="00C87AF7"/>
    <w:rsid w:val="00C90566"/>
    <w:rsid w:val="00C912AC"/>
    <w:rsid w:val="00C919E7"/>
    <w:rsid w:val="00C93553"/>
    <w:rsid w:val="00C93ABA"/>
    <w:rsid w:val="00C941A9"/>
    <w:rsid w:val="00C955DA"/>
    <w:rsid w:val="00C96033"/>
    <w:rsid w:val="00CA066E"/>
    <w:rsid w:val="00CA241F"/>
    <w:rsid w:val="00CA44F0"/>
    <w:rsid w:val="00CA4AC4"/>
    <w:rsid w:val="00CA52CC"/>
    <w:rsid w:val="00CA5F3D"/>
    <w:rsid w:val="00CA7095"/>
    <w:rsid w:val="00CB0532"/>
    <w:rsid w:val="00CB395E"/>
    <w:rsid w:val="00CB3A9B"/>
    <w:rsid w:val="00CB5985"/>
    <w:rsid w:val="00CB7B39"/>
    <w:rsid w:val="00CC19E2"/>
    <w:rsid w:val="00CC1FFA"/>
    <w:rsid w:val="00CC318A"/>
    <w:rsid w:val="00CD1349"/>
    <w:rsid w:val="00CD1B47"/>
    <w:rsid w:val="00CD25C7"/>
    <w:rsid w:val="00CD5DFD"/>
    <w:rsid w:val="00CD5EF4"/>
    <w:rsid w:val="00CD664C"/>
    <w:rsid w:val="00CE05B7"/>
    <w:rsid w:val="00CE3118"/>
    <w:rsid w:val="00CE431C"/>
    <w:rsid w:val="00CE4C05"/>
    <w:rsid w:val="00CE5217"/>
    <w:rsid w:val="00CE5C63"/>
    <w:rsid w:val="00CE6D92"/>
    <w:rsid w:val="00CE7F57"/>
    <w:rsid w:val="00CF143A"/>
    <w:rsid w:val="00CF1AE8"/>
    <w:rsid w:val="00CF4910"/>
    <w:rsid w:val="00CF4DDD"/>
    <w:rsid w:val="00CF4F7F"/>
    <w:rsid w:val="00D041DD"/>
    <w:rsid w:val="00D04287"/>
    <w:rsid w:val="00D05626"/>
    <w:rsid w:val="00D06C4F"/>
    <w:rsid w:val="00D1170F"/>
    <w:rsid w:val="00D11C50"/>
    <w:rsid w:val="00D11EBE"/>
    <w:rsid w:val="00D127C8"/>
    <w:rsid w:val="00D13399"/>
    <w:rsid w:val="00D16183"/>
    <w:rsid w:val="00D1637F"/>
    <w:rsid w:val="00D173AB"/>
    <w:rsid w:val="00D22020"/>
    <w:rsid w:val="00D22EFC"/>
    <w:rsid w:val="00D25806"/>
    <w:rsid w:val="00D25E89"/>
    <w:rsid w:val="00D30189"/>
    <w:rsid w:val="00D31D18"/>
    <w:rsid w:val="00D32693"/>
    <w:rsid w:val="00D342BB"/>
    <w:rsid w:val="00D34518"/>
    <w:rsid w:val="00D35B52"/>
    <w:rsid w:val="00D35D73"/>
    <w:rsid w:val="00D36E3F"/>
    <w:rsid w:val="00D37A4D"/>
    <w:rsid w:val="00D40960"/>
    <w:rsid w:val="00D409DF"/>
    <w:rsid w:val="00D44944"/>
    <w:rsid w:val="00D45E42"/>
    <w:rsid w:val="00D46219"/>
    <w:rsid w:val="00D46FC4"/>
    <w:rsid w:val="00D47F0F"/>
    <w:rsid w:val="00D502EB"/>
    <w:rsid w:val="00D51855"/>
    <w:rsid w:val="00D53E45"/>
    <w:rsid w:val="00D54943"/>
    <w:rsid w:val="00D55482"/>
    <w:rsid w:val="00D554FD"/>
    <w:rsid w:val="00D56817"/>
    <w:rsid w:val="00D57CD2"/>
    <w:rsid w:val="00D62864"/>
    <w:rsid w:val="00D64B1D"/>
    <w:rsid w:val="00D64B26"/>
    <w:rsid w:val="00D65B69"/>
    <w:rsid w:val="00D65F84"/>
    <w:rsid w:val="00D662D2"/>
    <w:rsid w:val="00D66DF7"/>
    <w:rsid w:val="00D673F0"/>
    <w:rsid w:val="00D70581"/>
    <w:rsid w:val="00D70842"/>
    <w:rsid w:val="00D71CEC"/>
    <w:rsid w:val="00D72F91"/>
    <w:rsid w:val="00D74B87"/>
    <w:rsid w:val="00D758F7"/>
    <w:rsid w:val="00D77E9C"/>
    <w:rsid w:val="00D800C5"/>
    <w:rsid w:val="00D804DE"/>
    <w:rsid w:val="00D812C3"/>
    <w:rsid w:val="00D85BDD"/>
    <w:rsid w:val="00D864DC"/>
    <w:rsid w:val="00D86E20"/>
    <w:rsid w:val="00D87232"/>
    <w:rsid w:val="00D91175"/>
    <w:rsid w:val="00D926BA"/>
    <w:rsid w:val="00D92B47"/>
    <w:rsid w:val="00D93697"/>
    <w:rsid w:val="00D93CCA"/>
    <w:rsid w:val="00D93E1D"/>
    <w:rsid w:val="00D94FDA"/>
    <w:rsid w:val="00D960D5"/>
    <w:rsid w:val="00D97D51"/>
    <w:rsid w:val="00D97EC7"/>
    <w:rsid w:val="00DA5789"/>
    <w:rsid w:val="00DA59D2"/>
    <w:rsid w:val="00DA6509"/>
    <w:rsid w:val="00DA70C6"/>
    <w:rsid w:val="00DA7A03"/>
    <w:rsid w:val="00DB11EB"/>
    <w:rsid w:val="00DB1593"/>
    <w:rsid w:val="00DB19D9"/>
    <w:rsid w:val="00DB45D0"/>
    <w:rsid w:val="00DB4AE1"/>
    <w:rsid w:val="00DB6F39"/>
    <w:rsid w:val="00DB7D80"/>
    <w:rsid w:val="00DC0EAF"/>
    <w:rsid w:val="00DC269B"/>
    <w:rsid w:val="00DC2C72"/>
    <w:rsid w:val="00DC31E0"/>
    <w:rsid w:val="00DC4CA9"/>
    <w:rsid w:val="00DC643F"/>
    <w:rsid w:val="00DD02E8"/>
    <w:rsid w:val="00DD1C69"/>
    <w:rsid w:val="00DD307E"/>
    <w:rsid w:val="00DD3DB7"/>
    <w:rsid w:val="00DD4A4F"/>
    <w:rsid w:val="00DD4C11"/>
    <w:rsid w:val="00DD4E27"/>
    <w:rsid w:val="00DD4F97"/>
    <w:rsid w:val="00DD5B7B"/>
    <w:rsid w:val="00DD5E43"/>
    <w:rsid w:val="00DD68A9"/>
    <w:rsid w:val="00DD6BEC"/>
    <w:rsid w:val="00DD764E"/>
    <w:rsid w:val="00DE00BD"/>
    <w:rsid w:val="00DE0F69"/>
    <w:rsid w:val="00DE23A2"/>
    <w:rsid w:val="00DE2A00"/>
    <w:rsid w:val="00DE3107"/>
    <w:rsid w:val="00DE3557"/>
    <w:rsid w:val="00DE40A7"/>
    <w:rsid w:val="00DE433E"/>
    <w:rsid w:val="00DE46A2"/>
    <w:rsid w:val="00DE70FE"/>
    <w:rsid w:val="00DE7EF8"/>
    <w:rsid w:val="00DF0DE0"/>
    <w:rsid w:val="00DF1DA0"/>
    <w:rsid w:val="00DF1E03"/>
    <w:rsid w:val="00DF2190"/>
    <w:rsid w:val="00DF2423"/>
    <w:rsid w:val="00DF354A"/>
    <w:rsid w:val="00DF377B"/>
    <w:rsid w:val="00DF39F0"/>
    <w:rsid w:val="00DF4EFE"/>
    <w:rsid w:val="00DF5F08"/>
    <w:rsid w:val="00DF61F2"/>
    <w:rsid w:val="00DF6ED8"/>
    <w:rsid w:val="00DF6F35"/>
    <w:rsid w:val="00DF6FF7"/>
    <w:rsid w:val="00DF7273"/>
    <w:rsid w:val="00E00061"/>
    <w:rsid w:val="00E01191"/>
    <w:rsid w:val="00E020B5"/>
    <w:rsid w:val="00E02194"/>
    <w:rsid w:val="00E025DC"/>
    <w:rsid w:val="00E0386E"/>
    <w:rsid w:val="00E04247"/>
    <w:rsid w:val="00E04665"/>
    <w:rsid w:val="00E04E4D"/>
    <w:rsid w:val="00E05083"/>
    <w:rsid w:val="00E054C3"/>
    <w:rsid w:val="00E061C5"/>
    <w:rsid w:val="00E06B26"/>
    <w:rsid w:val="00E06CCD"/>
    <w:rsid w:val="00E07196"/>
    <w:rsid w:val="00E0797B"/>
    <w:rsid w:val="00E10A9A"/>
    <w:rsid w:val="00E11EC8"/>
    <w:rsid w:val="00E12893"/>
    <w:rsid w:val="00E13456"/>
    <w:rsid w:val="00E14069"/>
    <w:rsid w:val="00E141C1"/>
    <w:rsid w:val="00E142DF"/>
    <w:rsid w:val="00E14DE3"/>
    <w:rsid w:val="00E151FA"/>
    <w:rsid w:val="00E15922"/>
    <w:rsid w:val="00E164BE"/>
    <w:rsid w:val="00E20888"/>
    <w:rsid w:val="00E20CC3"/>
    <w:rsid w:val="00E221E3"/>
    <w:rsid w:val="00E22AAD"/>
    <w:rsid w:val="00E24341"/>
    <w:rsid w:val="00E26FB7"/>
    <w:rsid w:val="00E303FA"/>
    <w:rsid w:val="00E31187"/>
    <w:rsid w:val="00E326C5"/>
    <w:rsid w:val="00E34D60"/>
    <w:rsid w:val="00E35137"/>
    <w:rsid w:val="00E35F5F"/>
    <w:rsid w:val="00E36815"/>
    <w:rsid w:val="00E410BF"/>
    <w:rsid w:val="00E4397C"/>
    <w:rsid w:val="00E47495"/>
    <w:rsid w:val="00E50825"/>
    <w:rsid w:val="00E51BAD"/>
    <w:rsid w:val="00E525CB"/>
    <w:rsid w:val="00E53A5B"/>
    <w:rsid w:val="00E543D8"/>
    <w:rsid w:val="00E54678"/>
    <w:rsid w:val="00E549F9"/>
    <w:rsid w:val="00E554A1"/>
    <w:rsid w:val="00E55722"/>
    <w:rsid w:val="00E56DF5"/>
    <w:rsid w:val="00E578F3"/>
    <w:rsid w:val="00E57954"/>
    <w:rsid w:val="00E63DCB"/>
    <w:rsid w:val="00E656B6"/>
    <w:rsid w:val="00E671E2"/>
    <w:rsid w:val="00E67D24"/>
    <w:rsid w:val="00E71203"/>
    <w:rsid w:val="00E718B8"/>
    <w:rsid w:val="00E71991"/>
    <w:rsid w:val="00E745D8"/>
    <w:rsid w:val="00E7482F"/>
    <w:rsid w:val="00E7483A"/>
    <w:rsid w:val="00E76AAA"/>
    <w:rsid w:val="00E76B38"/>
    <w:rsid w:val="00E772A6"/>
    <w:rsid w:val="00E77BD3"/>
    <w:rsid w:val="00E813DC"/>
    <w:rsid w:val="00E818B8"/>
    <w:rsid w:val="00E81A77"/>
    <w:rsid w:val="00E8260B"/>
    <w:rsid w:val="00E8260F"/>
    <w:rsid w:val="00E82F6D"/>
    <w:rsid w:val="00E83628"/>
    <w:rsid w:val="00E85079"/>
    <w:rsid w:val="00E86696"/>
    <w:rsid w:val="00E87257"/>
    <w:rsid w:val="00E90FF2"/>
    <w:rsid w:val="00E91782"/>
    <w:rsid w:val="00E931BE"/>
    <w:rsid w:val="00E93289"/>
    <w:rsid w:val="00E93E74"/>
    <w:rsid w:val="00E94636"/>
    <w:rsid w:val="00E946C6"/>
    <w:rsid w:val="00E956D6"/>
    <w:rsid w:val="00E95744"/>
    <w:rsid w:val="00E96F0D"/>
    <w:rsid w:val="00EA00FE"/>
    <w:rsid w:val="00EA2AE3"/>
    <w:rsid w:val="00EA3CF0"/>
    <w:rsid w:val="00EA462D"/>
    <w:rsid w:val="00EA69D7"/>
    <w:rsid w:val="00EB03BA"/>
    <w:rsid w:val="00EB1A95"/>
    <w:rsid w:val="00EB1EA1"/>
    <w:rsid w:val="00EB38CB"/>
    <w:rsid w:val="00EB4609"/>
    <w:rsid w:val="00EB495E"/>
    <w:rsid w:val="00EB4B6C"/>
    <w:rsid w:val="00EB68B7"/>
    <w:rsid w:val="00EB6ED5"/>
    <w:rsid w:val="00EB7813"/>
    <w:rsid w:val="00EC4001"/>
    <w:rsid w:val="00EC5A53"/>
    <w:rsid w:val="00EC7FFB"/>
    <w:rsid w:val="00ED1747"/>
    <w:rsid w:val="00ED1EDB"/>
    <w:rsid w:val="00ED25EF"/>
    <w:rsid w:val="00ED334B"/>
    <w:rsid w:val="00ED3E68"/>
    <w:rsid w:val="00ED3FF8"/>
    <w:rsid w:val="00ED4D7B"/>
    <w:rsid w:val="00ED4DD6"/>
    <w:rsid w:val="00ED538A"/>
    <w:rsid w:val="00EE1480"/>
    <w:rsid w:val="00EE47A2"/>
    <w:rsid w:val="00EE682E"/>
    <w:rsid w:val="00EF0B61"/>
    <w:rsid w:val="00EF136D"/>
    <w:rsid w:val="00EF1AEF"/>
    <w:rsid w:val="00EF3F6C"/>
    <w:rsid w:val="00EF47A0"/>
    <w:rsid w:val="00EF5184"/>
    <w:rsid w:val="00F01101"/>
    <w:rsid w:val="00F0149E"/>
    <w:rsid w:val="00F01B42"/>
    <w:rsid w:val="00F02BEB"/>
    <w:rsid w:val="00F03277"/>
    <w:rsid w:val="00F03C58"/>
    <w:rsid w:val="00F040C8"/>
    <w:rsid w:val="00F04C49"/>
    <w:rsid w:val="00F04F97"/>
    <w:rsid w:val="00F05041"/>
    <w:rsid w:val="00F05568"/>
    <w:rsid w:val="00F068F0"/>
    <w:rsid w:val="00F07D0D"/>
    <w:rsid w:val="00F114E0"/>
    <w:rsid w:val="00F13FC6"/>
    <w:rsid w:val="00F156F9"/>
    <w:rsid w:val="00F15BB2"/>
    <w:rsid w:val="00F16076"/>
    <w:rsid w:val="00F175FA"/>
    <w:rsid w:val="00F20272"/>
    <w:rsid w:val="00F20E15"/>
    <w:rsid w:val="00F21FB2"/>
    <w:rsid w:val="00F22A0E"/>
    <w:rsid w:val="00F23A76"/>
    <w:rsid w:val="00F25332"/>
    <w:rsid w:val="00F25817"/>
    <w:rsid w:val="00F25CCD"/>
    <w:rsid w:val="00F25F2D"/>
    <w:rsid w:val="00F27BD2"/>
    <w:rsid w:val="00F314A3"/>
    <w:rsid w:val="00F31ED3"/>
    <w:rsid w:val="00F322A8"/>
    <w:rsid w:val="00F32FB7"/>
    <w:rsid w:val="00F339E2"/>
    <w:rsid w:val="00F35121"/>
    <w:rsid w:val="00F353FD"/>
    <w:rsid w:val="00F4078A"/>
    <w:rsid w:val="00F42F44"/>
    <w:rsid w:val="00F4393B"/>
    <w:rsid w:val="00F43FD3"/>
    <w:rsid w:val="00F45D11"/>
    <w:rsid w:val="00F4726E"/>
    <w:rsid w:val="00F51A6A"/>
    <w:rsid w:val="00F568FF"/>
    <w:rsid w:val="00F56B5A"/>
    <w:rsid w:val="00F611D7"/>
    <w:rsid w:val="00F61C04"/>
    <w:rsid w:val="00F63603"/>
    <w:rsid w:val="00F6369F"/>
    <w:rsid w:val="00F6374C"/>
    <w:rsid w:val="00F64E24"/>
    <w:rsid w:val="00F64E69"/>
    <w:rsid w:val="00F64F1B"/>
    <w:rsid w:val="00F65675"/>
    <w:rsid w:val="00F65DBC"/>
    <w:rsid w:val="00F65FA5"/>
    <w:rsid w:val="00F674D9"/>
    <w:rsid w:val="00F67D28"/>
    <w:rsid w:val="00F729AA"/>
    <w:rsid w:val="00F73E47"/>
    <w:rsid w:val="00F75646"/>
    <w:rsid w:val="00F75F66"/>
    <w:rsid w:val="00F76340"/>
    <w:rsid w:val="00F7667E"/>
    <w:rsid w:val="00F767B8"/>
    <w:rsid w:val="00F77042"/>
    <w:rsid w:val="00F7765F"/>
    <w:rsid w:val="00F831F8"/>
    <w:rsid w:val="00F85760"/>
    <w:rsid w:val="00F86064"/>
    <w:rsid w:val="00F86597"/>
    <w:rsid w:val="00F90CF3"/>
    <w:rsid w:val="00F933BF"/>
    <w:rsid w:val="00F952EC"/>
    <w:rsid w:val="00F96E4D"/>
    <w:rsid w:val="00F976C1"/>
    <w:rsid w:val="00FA0F3B"/>
    <w:rsid w:val="00FA253D"/>
    <w:rsid w:val="00FA2FD7"/>
    <w:rsid w:val="00FA42A8"/>
    <w:rsid w:val="00FA440B"/>
    <w:rsid w:val="00FA4557"/>
    <w:rsid w:val="00FA72C9"/>
    <w:rsid w:val="00FB0C02"/>
    <w:rsid w:val="00FB1E0C"/>
    <w:rsid w:val="00FB2B09"/>
    <w:rsid w:val="00FB2C7B"/>
    <w:rsid w:val="00FB2EC2"/>
    <w:rsid w:val="00FB62EC"/>
    <w:rsid w:val="00FB7669"/>
    <w:rsid w:val="00FB794A"/>
    <w:rsid w:val="00FC04CB"/>
    <w:rsid w:val="00FC134E"/>
    <w:rsid w:val="00FC1F55"/>
    <w:rsid w:val="00FC387D"/>
    <w:rsid w:val="00FC50E2"/>
    <w:rsid w:val="00FC6CB7"/>
    <w:rsid w:val="00FC766B"/>
    <w:rsid w:val="00FC7A12"/>
    <w:rsid w:val="00FD1804"/>
    <w:rsid w:val="00FD22B9"/>
    <w:rsid w:val="00FD2332"/>
    <w:rsid w:val="00FD2413"/>
    <w:rsid w:val="00FD40BE"/>
    <w:rsid w:val="00FD4190"/>
    <w:rsid w:val="00FD4AA1"/>
    <w:rsid w:val="00FD54AF"/>
    <w:rsid w:val="00FD6677"/>
    <w:rsid w:val="00FD7346"/>
    <w:rsid w:val="00FE0107"/>
    <w:rsid w:val="00FE0882"/>
    <w:rsid w:val="00FE0F8A"/>
    <w:rsid w:val="00FE1783"/>
    <w:rsid w:val="00FE34D0"/>
    <w:rsid w:val="00FE3AFA"/>
    <w:rsid w:val="00FE5CCF"/>
    <w:rsid w:val="00FE70BE"/>
    <w:rsid w:val="00FF0D9C"/>
    <w:rsid w:val="00FF2AA0"/>
    <w:rsid w:val="00FF338C"/>
    <w:rsid w:val="00FF3CD0"/>
    <w:rsid w:val="00FF3F05"/>
    <w:rsid w:val="00FF4322"/>
    <w:rsid w:val="00FF4854"/>
    <w:rsid w:val="00FF55C4"/>
    <w:rsid w:val="00FF5620"/>
    <w:rsid w:val="00FF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5766BA-B948-423B-B7FF-7788B12B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A12"/>
    <w:rPr>
      <w:sz w:val="24"/>
      <w:szCs w:val="24"/>
      <w:lang w:val="sr-Latn-CS" w:eastAsia="sr-Latn-CS"/>
    </w:rPr>
  </w:style>
  <w:style w:type="paragraph" w:styleId="Heading1">
    <w:name w:val="heading 1"/>
    <w:basedOn w:val="Normal"/>
    <w:next w:val="Normal"/>
    <w:link w:val="Heading1Char"/>
    <w:uiPriority w:val="99"/>
    <w:qFormat/>
    <w:rsid w:val="0031649E"/>
    <w:pPr>
      <w:keepNext/>
      <w:outlineLvl w:val="0"/>
    </w:pPr>
    <w:rPr>
      <w:i/>
      <w:iCs/>
      <w:lang w:val="sl-SI" w:eastAsia="en-US"/>
    </w:rPr>
  </w:style>
  <w:style w:type="paragraph" w:styleId="Heading2">
    <w:name w:val="heading 2"/>
    <w:basedOn w:val="Normal"/>
    <w:next w:val="Normal"/>
    <w:link w:val="Heading2Char"/>
    <w:uiPriority w:val="99"/>
    <w:qFormat/>
    <w:locked/>
    <w:rsid w:val="00B025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B0256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locked/>
    <w:rsid w:val="00321012"/>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locked/>
    <w:rsid w:val="00E71991"/>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locked/>
    <w:rsid w:val="00EB1EA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EB1EA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locked/>
    <w:rsid w:val="00EB1EA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locked/>
    <w:rsid w:val="00EB1EA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0334"/>
    <w:rPr>
      <w:rFonts w:ascii="Cambria" w:hAnsi="Cambria" w:cs="Cambria"/>
      <w:b/>
      <w:bCs/>
      <w:kern w:val="32"/>
      <w:sz w:val="32"/>
      <w:szCs w:val="32"/>
      <w:lang w:val="sr-Latn-CS" w:eastAsia="sr-Latn-CS"/>
    </w:rPr>
  </w:style>
  <w:style w:type="character" w:customStyle="1" w:styleId="Heading2Char">
    <w:name w:val="Heading 2 Char"/>
    <w:basedOn w:val="DefaultParagraphFont"/>
    <w:link w:val="Heading2"/>
    <w:uiPriority w:val="99"/>
    <w:semiHidden/>
    <w:locked/>
    <w:rsid w:val="00514B7A"/>
    <w:rPr>
      <w:rFonts w:ascii="Cambria" w:hAnsi="Cambria" w:cs="Cambria"/>
      <w:b/>
      <w:bCs/>
      <w:i/>
      <w:iCs/>
      <w:sz w:val="28"/>
      <w:szCs w:val="28"/>
      <w:lang w:val="sr-Latn-CS" w:eastAsia="sr-Latn-CS"/>
    </w:rPr>
  </w:style>
  <w:style w:type="character" w:customStyle="1" w:styleId="Heading3Char">
    <w:name w:val="Heading 3 Char"/>
    <w:basedOn w:val="DefaultParagraphFont"/>
    <w:link w:val="Heading3"/>
    <w:uiPriority w:val="99"/>
    <w:semiHidden/>
    <w:locked/>
    <w:rsid w:val="00514B7A"/>
    <w:rPr>
      <w:rFonts w:ascii="Cambria" w:hAnsi="Cambria" w:cs="Cambria"/>
      <w:b/>
      <w:bCs/>
      <w:sz w:val="26"/>
      <w:szCs w:val="26"/>
      <w:lang w:val="sr-Latn-CS" w:eastAsia="sr-Latn-CS"/>
    </w:rPr>
  </w:style>
  <w:style w:type="paragraph" w:styleId="Footer">
    <w:name w:val="footer"/>
    <w:basedOn w:val="Normal"/>
    <w:link w:val="FooterChar"/>
    <w:uiPriority w:val="99"/>
    <w:rsid w:val="00722168"/>
    <w:pPr>
      <w:tabs>
        <w:tab w:val="center" w:pos="4536"/>
        <w:tab w:val="right" w:pos="9072"/>
      </w:tabs>
    </w:pPr>
  </w:style>
  <w:style w:type="character" w:customStyle="1" w:styleId="FooterChar">
    <w:name w:val="Footer Char"/>
    <w:basedOn w:val="DefaultParagraphFont"/>
    <w:link w:val="Footer"/>
    <w:uiPriority w:val="99"/>
    <w:locked/>
    <w:rsid w:val="006A0334"/>
    <w:rPr>
      <w:sz w:val="24"/>
      <w:szCs w:val="24"/>
      <w:lang w:val="sr-Latn-CS" w:eastAsia="sr-Latn-CS"/>
    </w:rPr>
  </w:style>
  <w:style w:type="character" w:styleId="PageNumber">
    <w:name w:val="page number"/>
    <w:basedOn w:val="DefaultParagraphFont"/>
    <w:uiPriority w:val="99"/>
    <w:rsid w:val="00722168"/>
  </w:style>
  <w:style w:type="paragraph" w:styleId="BodyTextIndent">
    <w:name w:val="Body Text Indent"/>
    <w:basedOn w:val="Normal"/>
    <w:link w:val="BodyTextIndentChar"/>
    <w:uiPriority w:val="99"/>
    <w:rsid w:val="00E12893"/>
    <w:pPr>
      <w:ind w:firstLine="1260"/>
    </w:pPr>
    <w:rPr>
      <w:lang w:val="sl-SI" w:eastAsia="en-US"/>
    </w:rPr>
  </w:style>
  <w:style w:type="character" w:customStyle="1" w:styleId="BodyTextIndentChar">
    <w:name w:val="Body Text Indent Char"/>
    <w:basedOn w:val="DefaultParagraphFont"/>
    <w:link w:val="BodyTextIndent"/>
    <w:uiPriority w:val="99"/>
    <w:locked/>
    <w:rsid w:val="00E12893"/>
    <w:rPr>
      <w:sz w:val="24"/>
      <w:szCs w:val="24"/>
      <w:lang w:val="sl-SI" w:eastAsia="en-US"/>
    </w:rPr>
  </w:style>
  <w:style w:type="character" w:customStyle="1" w:styleId="CharChar5">
    <w:name w:val="Char Char5"/>
    <w:basedOn w:val="DefaultParagraphFont"/>
    <w:uiPriority w:val="99"/>
    <w:rsid w:val="0031649E"/>
    <w:rPr>
      <w:sz w:val="24"/>
      <w:szCs w:val="24"/>
      <w:lang w:val="sl-SI"/>
    </w:rPr>
  </w:style>
  <w:style w:type="paragraph" w:styleId="ListParagraph">
    <w:name w:val="List Paragraph"/>
    <w:basedOn w:val="Normal"/>
    <w:uiPriority w:val="34"/>
    <w:qFormat/>
    <w:rsid w:val="00B029D9"/>
    <w:pPr>
      <w:ind w:left="720"/>
    </w:pPr>
    <w:rPr>
      <w:lang w:val="en-GB" w:eastAsia="en-US"/>
    </w:rPr>
  </w:style>
  <w:style w:type="character" w:customStyle="1" w:styleId="apple-style-span">
    <w:name w:val="apple-style-span"/>
    <w:basedOn w:val="DefaultParagraphFont"/>
    <w:rsid w:val="004413D4"/>
  </w:style>
  <w:style w:type="paragraph" w:styleId="NormalWeb">
    <w:name w:val="Normal (Web)"/>
    <w:basedOn w:val="Normal"/>
    <w:rsid w:val="004413D4"/>
    <w:pPr>
      <w:spacing w:before="100" w:beforeAutospacing="1" w:after="100" w:afterAutospacing="1"/>
    </w:pPr>
  </w:style>
  <w:style w:type="table" w:styleId="TableGrid">
    <w:name w:val="Table Grid"/>
    <w:basedOn w:val="TableNormal"/>
    <w:uiPriority w:val="59"/>
    <w:rsid w:val="00CC19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46C5A"/>
  </w:style>
  <w:style w:type="paragraph" w:styleId="IntenseQuote">
    <w:name w:val="Intense Quote"/>
    <w:basedOn w:val="Normal"/>
    <w:next w:val="Normal"/>
    <w:link w:val="IntenseQuoteChar"/>
    <w:uiPriority w:val="99"/>
    <w:qFormat/>
    <w:rsid w:val="003D1AE4"/>
    <w:pPr>
      <w:pBdr>
        <w:bottom w:val="single" w:sz="4" w:space="4" w:color="4F81BD"/>
      </w:pBdr>
      <w:spacing w:before="200" w:after="280"/>
      <w:ind w:left="936" w:right="936"/>
    </w:pPr>
    <w:rPr>
      <w:b/>
      <w:bCs/>
      <w:i/>
      <w:iCs/>
      <w:color w:val="4F81BD"/>
      <w:lang w:val="en-US" w:eastAsia="en-US"/>
    </w:rPr>
  </w:style>
  <w:style w:type="character" w:customStyle="1" w:styleId="IntenseQuoteChar">
    <w:name w:val="Intense Quote Char"/>
    <w:basedOn w:val="DefaultParagraphFont"/>
    <w:link w:val="IntenseQuote"/>
    <w:uiPriority w:val="99"/>
    <w:locked/>
    <w:rsid w:val="003D1AE4"/>
    <w:rPr>
      <w:b/>
      <w:bCs/>
      <w:i/>
      <w:iCs/>
      <w:color w:val="4F81BD"/>
      <w:sz w:val="24"/>
      <w:szCs w:val="24"/>
      <w:lang w:val="en-US" w:eastAsia="en-US"/>
    </w:rPr>
  </w:style>
  <w:style w:type="character" w:customStyle="1" w:styleId="hps">
    <w:name w:val="hps"/>
    <w:basedOn w:val="DefaultParagraphFont"/>
    <w:uiPriority w:val="99"/>
    <w:rsid w:val="00212A73"/>
  </w:style>
  <w:style w:type="character" w:styleId="Emphasis">
    <w:name w:val="Emphasis"/>
    <w:basedOn w:val="DefaultParagraphFont"/>
    <w:qFormat/>
    <w:rsid w:val="00C71919"/>
    <w:rPr>
      <w:i/>
      <w:iCs/>
    </w:rPr>
  </w:style>
  <w:style w:type="paragraph" w:customStyle="1" w:styleId="Default">
    <w:name w:val="Default"/>
    <w:rsid w:val="00C45209"/>
    <w:pPr>
      <w:autoSpaceDE w:val="0"/>
      <w:autoSpaceDN w:val="0"/>
      <w:adjustRightInd w:val="0"/>
    </w:pPr>
    <w:rPr>
      <w:color w:val="000000"/>
      <w:sz w:val="24"/>
      <w:szCs w:val="24"/>
    </w:rPr>
  </w:style>
  <w:style w:type="paragraph" w:styleId="BodyText">
    <w:name w:val="Body Text"/>
    <w:basedOn w:val="Normal"/>
    <w:link w:val="BodyTextChar"/>
    <w:uiPriority w:val="99"/>
    <w:rsid w:val="005D0A61"/>
    <w:pPr>
      <w:spacing w:after="120"/>
    </w:pPr>
  </w:style>
  <w:style w:type="character" w:customStyle="1" w:styleId="BodyTextChar">
    <w:name w:val="Body Text Char"/>
    <w:basedOn w:val="DefaultParagraphFont"/>
    <w:link w:val="BodyText"/>
    <w:uiPriority w:val="99"/>
    <w:locked/>
    <w:rsid w:val="005D0A61"/>
    <w:rPr>
      <w:sz w:val="24"/>
      <w:szCs w:val="24"/>
      <w:lang w:val="sr-Latn-CS" w:eastAsia="sr-Latn-CS"/>
    </w:rPr>
  </w:style>
  <w:style w:type="paragraph" w:styleId="BalloonText">
    <w:name w:val="Balloon Text"/>
    <w:basedOn w:val="Normal"/>
    <w:link w:val="BalloonTextChar"/>
    <w:uiPriority w:val="99"/>
    <w:semiHidden/>
    <w:rsid w:val="00A3559F"/>
    <w:rPr>
      <w:rFonts w:ascii="Tahoma" w:hAnsi="Tahoma" w:cs="Tahoma"/>
      <w:sz w:val="16"/>
      <w:szCs w:val="16"/>
    </w:rPr>
  </w:style>
  <w:style w:type="character" w:customStyle="1" w:styleId="BalloonTextChar">
    <w:name w:val="Balloon Text Char"/>
    <w:basedOn w:val="DefaultParagraphFont"/>
    <w:link w:val="BalloonText"/>
    <w:uiPriority w:val="99"/>
    <w:locked/>
    <w:rsid w:val="00A3559F"/>
    <w:rPr>
      <w:rFonts w:ascii="Tahoma" w:hAnsi="Tahoma" w:cs="Tahoma"/>
      <w:sz w:val="16"/>
      <w:szCs w:val="16"/>
      <w:lang w:val="sr-Latn-CS" w:eastAsia="sr-Latn-CS"/>
    </w:rPr>
  </w:style>
  <w:style w:type="paragraph" w:styleId="TOC2">
    <w:name w:val="toc 2"/>
    <w:basedOn w:val="Normal"/>
    <w:next w:val="Normal"/>
    <w:autoRedefine/>
    <w:uiPriority w:val="99"/>
    <w:semiHidden/>
    <w:locked/>
    <w:rsid w:val="003711CE"/>
    <w:pPr>
      <w:ind w:left="240"/>
    </w:pPr>
  </w:style>
  <w:style w:type="character" w:styleId="Hyperlink">
    <w:name w:val="Hyperlink"/>
    <w:basedOn w:val="DefaultParagraphFont"/>
    <w:uiPriority w:val="99"/>
    <w:rsid w:val="003711CE"/>
    <w:rPr>
      <w:color w:val="0000FF"/>
      <w:u w:val="single"/>
    </w:rPr>
  </w:style>
  <w:style w:type="paragraph" w:styleId="NoSpacing">
    <w:name w:val="No Spacing"/>
    <w:link w:val="NoSpacingChar"/>
    <w:uiPriority w:val="1"/>
    <w:qFormat/>
    <w:rsid w:val="004A4C72"/>
    <w:rPr>
      <w:rFonts w:ascii="Calibri" w:eastAsia="Calibri" w:hAnsi="Calibri" w:cs="Calibri"/>
      <w:sz w:val="22"/>
      <w:szCs w:val="22"/>
    </w:rPr>
  </w:style>
  <w:style w:type="character" w:customStyle="1" w:styleId="Heading4Char">
    <w:name w:val="Heading 4 Char"/>
    <w:basedOn w:val="DefaultParagraphFont"/>
    <w:link w:val="Heading4"/>
    <w:rsid w:val="00321012"/>
    <w:rPr>
      <w:rFonts w:ascii="Calibri" w:eastAsia="Times New Roman" w:hAnsi="Calibri" w:cs="Times New Roman"/>
      <w:b/>
      <w:bCs/>
      <w:sz w:val="28"/>
      <w:szCs w:val="28"/>
      <w:lang w:val="sr-Latn-CS" w:eastAsia="sr-Latn-CS"/>
    </w:rPr>
  </w:style>
  <w:style w:type="character" w:styleId="CommentReference">
    <w:name w:val="annotation reference"/>
    <w:basedOn w:val="DefaultParagraphFont"/>
    <w:uiPriority w:val="99"/>
    <w:semiHidden/>
    <w:unhideWhenUsed/>
    <w:rsid w:val="00F03C58"/>
    <w:rPr>
      <w:sz w:val="16"/>
      <w:szCs w:val="16"/>
    </w:rPr>
  </w:style>
  <w:style w:type="paragraph" w:styleId="CommentText">
    <w:name w:val="annotation text"/>
    <w:basedOn w:val="Normal"/>
    <w:link w:val="CommentTextChar"/>
    <w:uiPriority w:val="99"/>
    <w:semiHidden/>
    <w:unhideWhenUsed/>
    <w:rsid w:val="00F03C58"/>
    <w:rPr>
      <w:sz w:val="20"/>
      <w:szCs w:val="20"/>
    </w:rPr>
  </w:style>
  <w:style w:type="character" w:customStyle="1" w:styleId="CommentTextChar">
    <w:name w:val="Comment Text Char"/>
    <w:basedOn w:val="DefaultParagraphFont"/>
    <w:link w:val="CommentText"/>
    <w:uiPriority w:val="99"/>
    <w:semiHidden/>
    <w:rsid w:val="00F03C58"/>
    <w:rPr>
      <w:lang w:val="sr-Latn-CS" w:eastAsia="sr-Latn-CS"/>
    </w:rPr>
  </w:style>
  <w:style w:type="paragraph" w:styleId="CommentSubject">
    <w:name w:val="annotation subject"/>
    <w:basedOn w:val="CommentText"/>
    <w:next w:val="CommentText"/>
    <w:link w:val="CommentSubjectChar"/>
    <w:uiPriority w:val="99"/>
    <w:semiHidden/>
    <w:unhideWhenUsed/>
    <w:rsid w:val="00F03C58"/>
    <w:rPr>
      <w:b/>
      <w:bCs/>
    </w:rPr>
  </w:style>
  <w:style w:type="character" w:customStyle="1" w:styleId="CommentSubjectChar">
    <w:name w:val="Comment Subject Char"/>
    <w:basedOn w:val="CommentTextChar"/>
    <w:link w:val="CommentSubject"/>
    <w:uiPriority w:val="99"/>
    <w:semiHidden/>
    <w:rsid w:val="00F03C58"/>
    <w:rPr>
      <w:b/>
      <w:bCs/>
      <w:lang w:val="sr-Latn-CS" w:eastAsia="sr-Latn-CS"/>
    </w:rPr>
  </w:style>
  <w:style w:type="character" w:customStyle="1" w:styleId="Heading5Char">
    <w:name w:val="Heading 5 Char"/>
    <w:basedOn w:val="DefaultParagraphFont"/>
    <w:link w:val="Heading5"/>
    <w:rsid w:val="00E71991"/>
    <w:rPr>
      <w:rFonts w:ascii="Calibri" w:eastAsia="Times New Roman" w:hAnsi="Calibri" w:cs="Times New Roman"/>
      <w:b/>
      <w:bCs/>
      <w:i/>
      <w:iCs/>
      <w:sz w:val="26"/>
      <w:szCs w:val="26"/>
      <w:lang w:val="sr-Latn-CS" w:eastAsia="sr-Latn-CS"/>
    </w:rPr>
  </w:style>
  <w:style w:type="table" w:customStyle="1" w:styleId="MediumList11">
    <w:name w:val="Medium List 11"/>
    <w:basedOn w:val="TableNormal"/>
    <w:uiPriority w:val="65"/>
    <w:rsid w:val="001B4355"/>
    <w:pPr>
      <w:jc w:val="both"/>
    </w:pPr>
    <w:rPr>
      <w:rFonts w:eastAsia="Calibri"/>
      <w:color w:val="000000"/>
      <w:sz w:val="24"/>
      <w:szCs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TableNormal"/>
    <w:uiPriority w:val="60"/>
    <w:rsid w:val="001B43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SpacingChar">
    <w:name w:val="No Spacing Char"/>
    <w:basedOn w:val="DefaultParagraphFont"/>
    <w:link w:val="NoSpacing"/>
    <w:uiPriority w:val="1"/>
    <w:rsid w:val="004733E5"/>
    <w:rPr>
      <w:rFonts w:ascii="Calibri" w:eastAsia="Calibri" w:hAnsi="Calibri" w:cs="Calibri"/>
      <w:sz w:val="22"/>
      <w:szCs w:val="22"/>
    </w:rPr>
  </w:style>
  <w:style w:type="paragraph" w:styleId="PlainText">
    <w:name w:val="Plain Text"/>
    <w:basedOn w:val="Normal"/>
    <w:link w:val="PlainTextChar"/>
    <w:uiPriority w:val="99"/>
    <w:unhideWhenUsed/>
    <w:rsid w:val="00045382"/>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045382"/>
    <w:rPr>
      <w:rFonts w:ascii="Calibri" w:eastAsia="Calibri" w:hAnsi="Calibri"/>
      <w:sz w:val="22"/>
      <w:szCs w:val="21"/>
    </w:rPr>
  </w:style>
  <w:style w:type="paragraph" w:styleId="Title">
    <w:name w:val="Title"/>
    <w:basedOn w:val="Normal"/>
    <w:link w:val="TitleChar"/>
    <w:uiPriority w:val="10"/>
    <w:qFormat/>
    <w:locked/>
    <w:rsid w:val="0004538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10"/>
    <w:rsid w:val="00045382"/>
    <w:rPr>
      <w:b/>
      <w:sz w:val="48"/>
    </w:rPr>
  </w:style>
  <w:style w:type="character" w:customStyle="1" w:styleId="Heading6Char">
    <w:name w:val="Heading 6 Char"/>
    <w:basedOn w:val="DefaultParagraphFont"/>
    <w:link w:val="Heading6"/>
    <w:rsid w:val="00EB1EA1"/>
    <w:rPr>
      <w:rFonts w:asciiTheme="majorHAnsi" w:eastAsiaTheme="majorEastAsia" w:hAnsiTheme="majorHAnsi" w:cstheme="majorBidi"/>
      <w:i/>
      <w:iCs/>
      <w:color w:val="243F60" w:themeColor="accent1" w:themeShade="7F"/>
      <w:sz w:val="24"/>
      <w:szCs w:val="24"/>
      <w:lang w:val="sr-Latn-CS" w:eastAsia="sr-Latn-CS"/>
    </w:rPr>
  </w:style>
  <w:style w:type="character" w:customStyle="1" w:styleId="Heading7Char">
    <w:name w:val="Heading 7 Char"/>
    <w:basedOn w:val="DefaultParagraphFont"/>
    <w:link w:val="Heading7"/>
    <w:rsid w:val="00EB1EA1"/>
    <w:rPr>
      <w:rFonts w:asciiTheme="majorHAnsi" w:eastAsiaTheme="majorEastAsia" w:hAnsiTheme="majorHAnsi" w:cstheme="majorBidi"/>
      <w:i/>
      <w:iCs/>
      <w:color w:val="404040" w:themeColor="text1" w:themeTint="BF"/>
      <w:sz w:val="24"/>
      <w:szCs w:val="24"/>
      <w:lang w:val="sr-Latn-CS" w:eastAsia="sr-Latn-CS"/>
    </w:rPr>
  </w:style>
  <w:style w:type="character" w:customStyle="1" w:styleId="Heading8Char">
    <w:name w:val="Heading 8 Char"/>
    <w:basedOn w:val="DefaultParagraphFont"/>
    <w:link w:val="Heading8"/>
    <w:rsid w:val="00EB1EA1"/>
    <w:rPr>
      <w:rFonts w:asciiTheme="majorHAnsi" w:eastAsiaTheme="majorEastAsia" w:hAnsiTheme="majorHAnsi" w:cstheme="majorBidi"/>
      <w:color w:val="404040" w:themeColor="text1" w:themeTint="BF"/>
      <w:lang w:val="sr-Latn-CS" w:eastAsia="sr-Latn-CS"/>
    </w:rPr>
  </w:style>
  <w:style w:type="character" w:customStyle="1" w:styleId="Heading9Char">
    <w:name w:val="Heading 9 Char"/>
    <w:basedOn w:val="DefaultParagraphFont"/>
    <w:link w:val="Heading9"/>
    <w:rsid w:val="00EB1EA1"/>
    <w:rPr>
      <w:rFonts w:asciiTheme="majorHAnsi" w:eastAsiaTheme="majorEastAsia" w:hAnsiTheme="majorHAnsi" w:cstheme="majorBidi"/>
      <w:i/>
      <w:iCs/>
      <w:color w:val="404040" w:themeColor="text1" w:themeTint="BF"/>
      <w:lang w:val="sr-Latn-CS" w:eastAsia="sr-Latn-CS"/>
    </w:rPr>
  </w:style>
  <w:style w:type="paragraph" w:styleId="Header">
    <w:name w:val="header"/>
    <w:basedOn w:val="Normal"/>
    <w:link w:val="HeaderChar"/>
    <w:uiPriority w:val="99"/>
    <w:unhideWhenUsed/>
    <w:rsid w:val="00F45D11"/>
    <w:pPr>
      <w:tabs>
        <w:tab w:val="center" w:pos="4680"/>
        <w:tab w:val="right" w:pos="9360"/>
      </w:tabs>
    </w:pPr>
  </w:style>
  <w:style w:type="character" w:customStyle="1" w:styleId="HeaderChar">
    <w:name w:val="Header Char"/>
    <w:basedOn w:val="DefaultParagraphFont"/>
    <w:link w:val="Header"/>
    <w:uiPriority w:val="99"/>
    <w:rsid w:val="00F45D11"/>
    <w:rPr>
      <w:sz w:val="24"/>
      <w:szCs w:val="24"/>
      <w:lang w:val="sr-Latn-CS" w:eastAsia="sr-Latn-CS"/>
    </w:rPr>
  </w:style>
  <w:style w:type="character" w:styleId="SubtleEmphasis">
    <w:name w:val="Subtle Emphasis"/>
    <w:basedOn w:val="DefaultParagraphFont"/>
    <w:uiPriority w:val="19"/>
    <w:qFormat/>
    <w:rsid w:val="00EB495E"/>
    <w:rPr>
      <w:i/>
      <w:iCs/>
      <w:color w:val="404040" w:themeColor="text1" w:themeTint="BF"/>
    </w:rPr>
  </w:style>
  <w:style w:type="character" w:customStyle="1" w:styleId="lang-en">
    <w:name w:val="lang-en"/>
    <w:uiPriority w:val="1"/>
    <w:qFormat/>
    <w:rsid w:val="008761C0"/>
    <w:rPr>
      <w:i/>
      <w:noProof w:val="0"/>
      <w:color w:val="1F4E7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4347">
      <w:marLeft w:val="0"/>
      <w:marRight w:val="0"/>
      <w:marTop w:val="0"/>
      <w:marBottom w:val="0"/>
      <w:divBdr>
        <w:top w:val="none" w:sz="0" w:space="0" w:color="auto"/>
        <w:left w:val="none" w:sz="0" w:space="0" w:color="auto"/>
        <w:bottom w:val="none" w:sz="0" w:space="0" w:color="auto"/>
        <w:right w:val="none" w:sz="0" w:space="0" w:color="auto"/>
      </w:divBdr>
    </w:div>
    <w:div w:id="172184348">
      <w:marLeft w:val="0"/>
      <w:marRight w:val="0"/>
      <w:marTop w:val="0"/>
      <w:marBottom w:val="0"/>
      <w:divBdr>
        <w:top w:val="none" w:sz="0" w:space="0" w:color="auto"/>
        <w:left w:val="none" w:sz="0" w:space="0" w:color="auto"/>
        <w:bottom w:val="none" w:sz="0" w:space="0" w:color="auto"/>
        <w:right w:val="none" w:sz="0" w:space="0" w:color="auto"/>
      </w:divBdr>
    </w:div>
    <w:div w:id="172184349">
      <w:marLeft w:val="0"/>
      <w:marRight w:val="0"/>
      <w:marTop w:val="0"/>
      <w:marBottom w:val="0"/>
      <w:divBdr>
        <w:top w:val="none" w:sz="0" w:space="0" w:color="auto"/>
        <w:left w:val="none" w:sz="0" w:space="0" w:color="auto"/>
        <w:bottom w:val="none" w:sz="0" w:space="0" w:color="auto"/>
        <w:right w:val="none" w:sz="0" w:space="0" w:color="auto"/>
      </w:divBdr>
    </w:div>
    <w:div w:id="172184350">
      <w:marLeft w:val="0"/>
      <w:marRight w:val="0"/>
      <w:marTop w:val="0"/>
      <w:marBottom w:val="0"/>
      <w:divBdr>
        <w:top w:val="none" w:sz="0" w:space="0" w:color="auto"/>
        <w:left w:val="none" w:sz="0" w:space="0" w:color="auto"/>
        <w:bottom w:val="none" w:sz="0" w:space="0" w:color="auto"/>
        <w:right w:val="none" w:sz="0" w:space="0" w:color="auto"/>
      </w:divBdr>
    </w:div>
    <w:div w:id="172184351">
      <w:marLeft w:val="0"/>
      <w:marRight w:val="0"/>
      <w:marTop w:val="0"/>
      <w:marBottom w:val="0"/>
      <w:divBdr>
        <w:top w:val="none" w:sz="0" w:space="0" w:color="auto"/>
        <w:left w:val="none" w:sz="0" w:space="0" w:color="auto"/>
        <w:bottom w:val="none" w:sz="0" w:space="0" w:color="auto"/>
        <w:right w:val="none" w:sz="0" w:space="0" w:color="auto"/>
      </w:divBdr>
    </w:div>
    <w:div w:id="172184352">
      <w:marLeft w:val="0"/>
      <w:marRight w:val="0"/>
      <w:marTop w:val="0"/>
      <w:marBottom w:val="0"/>
      <w:divBdr>
        <w:top w:val="none" w:sz="0" w:space="0" w:color="auto"/>
        <w:left w:val="none" w:sz="0" w:space="0" w:color="auto"/>
        <w:bottom w:val="none" w:sz="0" w:space="0" w:color="auto"/>
        <w:right w:val="none" w:sz="0" w:space="0" w:color="auto"/>
      </w:divBdr>
    </w:div>
    <w:div w:id="172184353">
      <w:marLeft w:val="0"/>
      <w:marRight w:val="0"/>
      <w:marTop w:val="0"/>
      <w:marBottom w:val="0"/>
      <w:divBdr>
        <w:top w:val="none" w:sz="0" w:space="0" w:color="auto"/>
        <w:left w:val="none" w:sz="0" w:space="0" w:color="auto"/>
        <w:bottom w:val="none" w:sz="0" w:space="0" w:color="auto"/>
        <w:right w:val="none" w:sz="0" w:space="0" w:color="auto"/>
      </w:divBdr>
    </w:div>
    <w:div w:id="172184354">
      <w:marLeft w:val="0"/>
      <w:marRight w:val="0"/>
      <w:marTop w:val="0"/>
      <w:marBottom w:val="0"/>
      <w:divBdr>
        <w:top w:val="none" w:sz="0" w:space="0" w:color="auto"/>
        <w:left w:val="none" w:sz="0" w:space="0" w:color="auto"/>
        <w:bottom w:val="none" w:sz="0" w:space="0" w:color="auto"/>
        <w:right w:val="none" w:sz="0" w:space="0" w:color="auto"/>
      </w:divBdr>
    </w:div>
    <w:div w:id="172184355">
      <w:marLeft w:val="0"/>
      <w:marRight w:val="0"/>
      <w:marTop w:val="0"/>
      <w:marBottom w:val="0"/>
      <w:divBdr>
        <w:top w:val="none" w:sz="0" w:space="0" w:color="auto"/>
        <w:left w:val="none" w:sz="0" w:space="0" w:color="auto"/>
        <w:bottom w:val="none" w:sz="0" w:space="0" w:color="auto"/>
        <w:right w:val="none" w:sz="0" w:space="0" w:color="auto"/>
      </w:divBdr>
    </w:div>
    <w:div w:id="172184356">
      <w:marLeft w:val="0"/>
      <w:marRight w:val="0"/>
      <w:marTop w:val="0"/>
      <w:marBottom w:val="0"/>
      <w:divBdr>
        <w:top w:val="none" w:sz="0" w:space="0" w:color="auto"/>
        <w:left w:val="none" w:sz="0" w:space="0" w:color="auto"/>
        <w:bottom w:val="none" w:sz="0" w:space="0" w:color="auto"/>
        <w:right w:val="none" w:sz="0" w:space="0" w:color="auto"/>
      </w:divBdr>
    </w:div>
    <w:div w:id="172184357">
      <w:marLeft w:val="0"/>
      <w:marRight w:val="0"/>
      <w:marTop w:val="0"/>
      <w:marBottom w:val="0"/>
      <w:divBdr>
        <w:top w:val="none" w:sz="0" w:space="0" w:color="auto"/>
        <w:left w:val="none" w:sz="0" w:space="0" w:color="auto"/>
        <w:bottom w:val="none" w:sz="0" w:space="0" w:color="auto"/>
        <w:right w:val="none" w:sz="0" w:space="0" w:color="auto"/>
      </w:divBdr>
    </w:div>
    <w:div w:id="172184358">
      <w:marLeft w:val="0"/>
      <w:marRight w:val="0"/>
      <w:marTop w:val="0"/>
      <w:marBottom w:val="0"/>
      <w:divBdr>
        <w:top w:val="none" w:sz="0" w:space="0" w:color="auto"/>
        <w:left w:val="none" w:sz="0" w:space="0" w:color="auto"/>
        <w:bottom w:val="none" w:sz="0" w:space="0" w:color="auto"/>
        <w:right w:val="none" w:sz="0" w:space="0" w:color="auto"/>
      </w:divBdr>
    </w:div>
    <w:div w:id="172184359">
      <w:marLeft w:val="0"/>
      <w:marRight w:val="0"/>
      <w:marTop w:val="0"/>
      <w:marBottom w:val="0"/>
      <w:divBdr>
        <w:top w:val="none" w:sz="0" w:space="0" w:color="auto"/>
        <w:left w:val="none" w:sz="0" w:space="0" w:color="auto"/>
        <w:bottom w:val="none" w:sz="0" w:space="0" w:color="auto"/>
        <w:right w:val="none" w:sz="0" w:space="0" w:color="auto"/>
      </w:divBdr>
    </w:div>
    <w:div w:id="820737402">
      <w:bodyDiv w:val="1"/>
      <w:marLeft w:val="0"/>
      <w:marRight w:val="0"/>
      <w:marTop w:val="0"/>
      <w:marBottom w:val="0"/>
      <w:divBdr>
        <w:top w:val="none" w:sz="0" w:space="0" w:color="auto"/>
        <w:left w:val="none" w:sz="0" w:space="0" w:color="auto"/>
        <w:bottom w:val="none" w:sz="0" w:space="0" w:color="auto"/>
        <w:right w:val="none" w:sz="0" w:space="0" w:color="auto"/>
      </w:divBdr>
    </w:div>
    <w:div w:id="13392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ME" sz="1999"/>
              <a:t>Ostvareni prihodi u odnosu na plan</a:t>
            </a:r>
          </a:p>
          <a:p>
            <a:pPr>
              <a:defRPr sz="1400" b="0" i="0" u="none" strike="noStrike" kern="1200" spc="0" baseline="0">
                <a:solidFill>
                  <a:schemeClr val="tx1">
                    <a:lumMod val="65000"/>
                    <a:lumOff val="35000"/>
                  </a:schemeClr>
                </a:solidFill>
                <a:latin typeface="+mn-lt"/>
                <a:ea typeface="+mn-ea"/>
                <a:cs typeface="+mn-cs"/>
              </a:defRPr>
            </a:pPr>
            <a:r>
              <a:rPr lang="sr-Latn-ME" sz="1999"/>
              <a:t>2020</a:t>
            </a:r>
            <a:endParaRPr lang="en-US" sz="2000"/>
          </a:p>
        </c:rich>
      </c:tx>
      <c:overlay val="0"/>
      <c:spPr>
        <a:noFill/>
        <a:ln>
          <a:noFill/>
        </a:ln>
        <a:effectLst/>
      </c:spPr>
    </c:title>
    <c:autoTitleDeleted val="0"/>
    <c:plotArea>
      <c:layout/>
      <c:barChart>
        <c:barDir val="col"/>
        <c:grouping val="clustered"/>
        <c:varyColors val="0"/>
        <c:ser>
          <c:idx val="0"/>
          <c:order val="0"/>
          <c:tx>
            <c:strRef>
              <c:f>Sheet1!$B$1</c:f>
              <c:strCache>
                <c:ptCount val="1"/>
                <c:pt idx="0">
                  <c:v>Plan 2020</c:v>
                </c:pt>
              </c:strCache>
            </c:strRef>
          </c:tx>
          <c:spPr>
            <a:solidFill>
              <a:schemeClr val="accent1"/>
            </a:solidFill>
            <a:ln>
              <a:noFill/>
            </a:ln>
            <a:effectLst/>
          </c:spPr>
          <c:invertIfNegative val="0"/>
          <c:cat>
            <c:strRef>
              <c:f>Sheet1!$A$2:$A$6</c:f>
              <c:strCache>
                <c:ptCount val="5"/>
                <c:pt idx="0">
                  <c:v>Tekući prihodi</c:v>
                </c:pt>
                <c:pt idx="1">
                  <c:v>Primici od prod.nefinans. Imovine</c:v>
                </c:pt>
                <c:pt idx="2">
                  <c:v>Sredstva preneš.iz prethodne godine</c:v>
                </c:pt>
                <c:pt idx="3">
                  <c:v>Donacije i transferi</c:v>
                </c:pt>
                <c:pt idx="4">
                  <c:v>Pozajmice i krediti</c:v>
                </c:pt>
              </c:strCache>
            </c:strRef>
          </c:cat>
          <c:val>
            <c:numRef>
              <c:f>Sheet1!$B$2:$B$6</c:f>
              <c:numCache>
                <c:formatCode>General</c:formatCode>
                <c:ptCount val="5"/>
                <c:pt idx="0">
                  <c:v>12.68</c:v>
                </c:pt>
                <c:pt idx="1">
                  <c:v>0.03</c:v>
                </c:pt>
                <c:pt idx="2">
                  <c:v>3.5</c:v>
                </c:pt>
                <c:pt idx="3">
                  <c:v>6.75</c:v>
                </c:pt>
                <c:pt idx="4">
                  <c:v>1</c:v>
                </c:pt>
              </c:numCache>
            </c:numRef>
          </c:val>
        </c:ser>
        <c:ser>
          <c:idx val="1"/>
          <c:order val="1"/>
          <c:tx>
            <c:strRef>
              <c:f>Sheet1!$C$1</c:f>
              <c:strCache>
                <c:ptCount val="1"/>
                <c:pt idx="0">
                  <c:v>Ostvareno 2020</c:v>
                </c:pt>
              </c:strCache>
            </c:strRef>
          </c:tx>
          <c:spPr>
            <a:solidFill>
              <a:schemeClr val="accent2"/>
            </a:solidFill>
            <a:ln>
              <a:noFill/>
            </a:ln>
            <a:effectLst/>
          </c:spPr>
          <c:invertIfNegative val="0"/>
          <c:cat>
            <c:strRef>
              <c:f>Sheet1!$A$2:$A$6</c:f>
              <c:strCache>
                <c:ptCount val="5"/>
                <c:pt idx="0">
                  <c:v>Tekući prihodi</c:v>
                </c:pt>
                <c:pt idx="1">
                  <c:v>Primici od prod.nefinans. Imovine</c:v>
                </c:pt>
                <c:pt idx="2">
                  <c:v>Sredstva preneš.iz prethodne godine</c:v>
                </c:pt>
                <c:pt idx="3">
                  <c:v>Donacije i transferi</c:v>
                </c:pt>
                <c:pt idx="4">
                  <c:v>Pozajmice i krediti</c:v>
                </c:pt>
              </c:strCache>
            </c:strRef>
          </c:cat>
          <c:val>
            <c:numRef>
              <c:f>Sheet1!$C$2:$C$6</c:f>
              <c:numCache>
                <c:formatCode>General</c:formatCode>
                <c:ptCount val="5"/>
                <c:pt idx="0">
                  <c:v>12.78</c:v>
                </c:pt>
                <c:pt idx="1">
                  <c:v>9.4999999999999998E-3</c:v>
                </c:pt>
                <c:pt idx="2">
                  <c:v>6.07</c:v>
                </c:pt>
                <c:pt idx="3">
                  <c:v>6.36</c:v>
                </c:pt>
              </c:numCache>
            </c:numRef>
          </c:val>
        </c:ser>
        <c:dLbls>
          <c:showLegendKey val="0"/>
          <c:showVal val="0"/>
          <c:showCatName val="0"/>
          <c:showSerName val="0"/>
          <c:showPercent val="0"/>
          <c:showBubbleSize val="0"/>
        </c:dLbls>
        <c:gapWidth val="219"/>
        <c:overlap val="-27"/>
        <c:axId val="-1247338816"/>
        <c:axId val="-1247339360"/>
      </c:barChart>
      <c:catAx>
        <c:axId val="-1247338816"/>
        <c:scaling>
          <c:orientation val="minMax"/>
        </c:scaling>
        <c:delete val="0"/>
        <c:axPos val="b"/>
        <c:numFmt formatCode="General" sourceLinked="1"/>
        <c:majorTickMark val="none"/>
        <c:minorTickMark val="none"/>
        <c:tickLblPos val="nextTo"/>
        <c:spPr>
          <a:noFill/>
          <a:ln w="9522"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247339360"/>
        <c:crosses val="autoZero"/>
        <c:auto val="1"/>
        <c:lblAlgn val="ctr"/>
        <c:lblOffset val="100"/>
        <c:noMultiLvlLbl val="0"/>
      </c:catAx>
      <c:valAx>
        <c:axId val="-1247339360"/>
        <c:scaling>
          <c:orientation val="minMax"/>
        </c:scaling>
        <c:delete val="0"/>
        <c:axPos val="l"/>
        <c:majorGridlines>
          <c:spPr>
            <a:ln w="9522"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247338816"/>
        <c:crosses val="autoZero"/>
        <c:crossBetween val="between"/>
      </c:valAx>
      <c:spPr>
        <a:noFill/>
        <a:ln w="25392">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2"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ME" sz="1999"/>
              <a:t>Odnos izvršenih rashoda u odnosu na plan 2020</a:t>
            </a:r>
          </a:p>
          <a:p>
            <a:pPr>
              <a:defRPr sz="1400" b="0" i="0" u="none" strike="noStrike" kern="1200" spc="0" baseline="0">
                <a:solidFill>
                  <a:schemeClr val="tx1">
                    <a:lumMod val="65000"/>
                    <a:lumOff val="35000"/>
                  </a:schemeClr>
                </a:solidFill>
                <a:latin typeface="+mn-lt"/>
                <a:ea typeface="+mn-ea"/>
                <a:cs typeface="+mn-cs"/>
              </a:defRPr>
            </a:pP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plan 2020</c:v>
                </c:pt>
              </c:strCache>
            </c:strRef>
          </c:tx>
          <c:spPr>
            <a:solidFill>
              <a:schemeClr val="accent1"/>
            </a:solidFill>
            <a:ln>
              <a:noFill/>
            </a:ln>
            <a:effectLst/>
          </c:spPr>
          <c:invertIfNegative val="0"/>
          <c:cat>
            <c:strRef>
              <c:f>Sheet1!$A$2:$A$7</c:f>
              <c:strCache>
                <c:ptCount val="6"/>
                <c:pt idx="0">
                  <c:v>Tekući izdaci</c:v>
                </c:pt>
                <c:pt idx="1">
                  <c:v>Transf.za soc.zaštitu</c:v>
                </c:pt>
                <c:pt idx="2">
                  <c:v>Transf.instituc.pojedincima i NVO i javnom sektoru</c:v>
                </c:pt>
                <c:pt idx="3">
                  <c:v>Kapitalni izdaci</c:v>
                </c:pt>
                <c:pt idx="4">
                  <c:v>Otplata dugova</c:v>
                </c:pt>
                <c:pt idx="5">
                  <c:v>Rezerve</c:v>
                </c:pt>
              </c:strCache>
            </c:strRef>
          </c:cat>
          <c:val>
            <c:numRef>
              <c:f>Sheet1!$B$2:$B$7</c:f>
              <c:numCache>
                <c:formatCode>General</c:formatCode>
                <c:ptCount val="6"/>
                <c:pt idx="0">
                  <c:v>9.73</c:v>
                </c:pt>
                <c:pt idx="1">
                  <c:v>1E-3</c:v>
                </c:pt>
                <c:pt idx="2">
                  <c:v>4.2300000000000004</c:v>
                </c:pt>
                <c:pt idx="3">
                  <c:v>5</c:v>
                </c:pt>
                <c:pt idx="4">
                  <c:v>4.53</c:v>
                </c:pt>
                <c:pt idx="5">
                  <c:v>0.45</c:v>
                </c:pt>
              </c:numCache>
            </c:numRef>
          </c:val>
        </c:ser>
        <c:ser>
          <c:idx val="1"/>
          <c:order val="1"/>
          <c:tx>
            <c:strRef>
              <c:f>Sheet1!$C$1</c:f>
              <c:strCache>
                <c:ptCount val="1"/>
                <c:pt idx="0">
                  <c:v>Izvršeno 2020</c:v>
                </c:pt>
              </c:strCache>
            </c:strRef>
          </c:tx>
          <c:spPr>
            <a:solidFill>
              <a:schemeClr val="accent2"/>
            </a:solidFill>
            <a:ln>
              <a:noFill/>
            </a:ln>
            <a:effectLst/>
          </c:spPr>
          <c:invertIfNegative val="0"/>
          <c:cat>
            <c:strRef>
              <c:f>Sheet1!$A$2:$A$7</c:f>
              <c:strCache>
                <c:ptCount val="6"/>
                <c:pt idx="0">
                  <c:v>Tekući izdaci</c:v>
                </c:pt>
                <c:pt idx="1">
                  <c:v>Transf.za soc.zaštitu</c:v>
                </c:pt>
                <c:pt idx="2">
                  <c:v>Transf.instituc.pojedincima i NVO i javnom sektoru</c:v>
                </c:pt>
                <c:pt idx="3">
                  <c:v>Kapitalni izdaci</c:v>
                </c:pt>
                <c:pt idx="4">
                  <c:v>Otplata dugova</c:v>
                </c:pt>
                <c:pt idx="5">
                  <c:v>Rezerve</c:v>
                </c:pt>
              </c:strCache>
            </c:strRef>
          </c:cat>
          <c:val>
            <c:numRef>
              <c:f>Sheet1!$C$2:$C$7</c:f>
              <c:numCache>
                <c:formatCode>General</c:formatCode>
                <c:ptCount val="6"/>
                <c:pt idx="0">
                  <c:v>8.73</c:v>
                </c:pt>
                <c:pt idx="1">
                  <c:v>5.9999999999999995E-4</c:v>
                </c:pt>
                <c:pt idx="2">
                  <c:v>3.77</c:v>
                </c:pt>
                <c:pt idx="3">
                  <c:v>3.59</c:v>
                </c:pt>
                <c:pt idx="4">
                  <c:v>3.96</c:v>
                </c:pt>
                <c:pt idx="5">
                  <c:v>0.44</c:v>
                </c:pt>
              </c:numCache>
            </c:numRef>
          </c:val>
        </c:ser>
        <c:dLbls>
          <c:showLegendKey val="0"/>
          <c:showVal val="0"/>
          <c:showCatName val="0"/>
          <c:showSerName val="0"/>
          <c:showPercent val="0"/>
          <c:showBubbleSize val="0"/>
        </c:dLbls>
        <c:gapWidth val="219"/>
        <c:overlap val="-27"/>
        <c:axId val="-1244436144"/>
        <c:axId val="-1244451376"/>
      </c:barChart>
      <c:catAx>
        <c:axId val="-1244436144"/>
        <c:scaling>
          <c:orientation val="minMax"/>
        </c:scaling>
        <c:delete val="0"/>
        <c:axPos val="b"/>
        <c:numFmt formatCode="General" sourceLinked="1"/>
        <c:majorTickMark val="none"/>
        <c:minorTickMark val="none"/>
        <c:tickLblPos val="nextTo"/>
        <c:spPr>
          <a:noFill/>
          <a:ln w="9522"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244451376"/>
        <c:crosses val="autoZero"/>
        <c:auto val="1"/>
        <c:lblAlgn val="ctr"/>
        <c:lblOffset val="100"/>
        <c:noMultiLvlLbl val="0"/>
      </c:catAx>
      <c:valAx>
        <c:axId val="-1244451376"/>
        <c:scaling>
          <c:orientation val="minMax"/>
        </c:scaling>
        <c:delete val="0"/>
        <c:axPos val="l"/>
        <c:majorGridlines>
          <c:spPr>
            <a:ln w="9522"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244436144"/>
        <c:crosses val="autoZero"/>
        <c:crossBetween val="between"/>
      </c:valAx>
      <c:spPr>
        <a:noFill/>
        <a:ln w="25392">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2"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A900A-364D-428E-866B-F4C649BE2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Pages>
  <Words>18649</Words>
  <Characters>106302</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124702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sloba</dc:creator>
  <cp:lastModifiedBy>Biljana Đurović</cp:lastModifiedBy>
  <cp:revision>169</cp:revision>
  <cp:lastPrinted>2021-03-30T06:38:00Z</cp:lastPrinted>
  <dcterms:created xsi:type="dcterms:W3CDTF">2019-01-24T10:36:00Z</dcterms:created>
  <dcterms:modified xsi:type="dcterms:W3CDTF">2021-03-31T07:44:00Z</dcterms:modified>
</cp:coreProperties>
</file>